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04F60" w14:textId="5A25A6B8" w:rsidR="002141D9" w:rsidRPr="002141D9" w:rsidRDefault="005D6354" w:rsidP="002141D9">
      <w:pPr>
        <w:tabs>
          <w:tab w:val="center" w:pos="4536"/>
          <w:tab w:val="right" w:pos="8280"/>
          <w:tab w:val="right" w:pos="9781"/>
        </w:tabs>
        <w:ind w:right="-58"/>
        <w:rPr>
          <w:rFonts w:ascii="Arial" w:eastAsia="Batang" w:hAnsi="Arial" w:cs="Arial"/>
          <w:b/>
          <w:bCs/>
          <w:sz w:val="28"/>
          <w:szCs w:val="24"/>
          <w:lang w:val="en-GB"/>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allowOverlap="1" wp14:anchorId="7157E758" wp14:editId="54531A9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2733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141D9" w:rsidRPr="002141D9">
        <w:rPr>
          <w:rFonts w:ascii="Arial" w:eastAsia="Batang" w:hAnsi="Arial" w:cs="Arial"/>
          <w:b/>
          <w:bCs/>
          <w:sz w:val="28"/>
          <w:szCs w:val="24"/>
          <w:lang w:val="en-GB"/>
        </w:rPr>
        <w:t>3GPP TSG RAN WG1 Meeting #8</w:t>
      </w:r>
      <w:r w:rsidR="002141D9" w:rsidRPr="002141D9">
        <w:rPr>
          <w:rFonts w:ascii="Arial" w:eastAsia="MS Mincho" w:hAnsi="Arial" w:cs="Arial" w:hint="eastAsia"/>
          <w:b/>
          <w:bCs/>
          <w:sz w:val="28"/>
          <w:szCs w:val="24"/>
          <w:lang w:val="en-GB" w:eastAsia="ja-JP"/>
        </w:rPr>
        <w:t>9</w:t>
      </w:r>
      <w:r w:rsidR="002141D9" w:rsidRPr="002141D9">
        <w:rPr>
          <w:rFonts w:ascii="Arial" w:eastAsia="Batang" w:hAnsi="Arial" w:cs="Arial" w:hint="eastAsia"/>
          <w:b/>
          <w:bCs/>
          <w:sz w:val="28"/>
          <w:szCs w:val="24"/>
          <w:lang w:val="en-GB"/>
        </w:rPr>
        <w:t xml:space="preserve">               </w:t>
      </w:r>
      <w:r w:rsidR="002141D9">
        <w:rPr>
          <w:rFonts w:ascii="Arial" w:eastAsia="MS Mincho" w:hAnsi="Arial" w:cs="Arial" w:hint="eastAsia"/>
          <w:b/>
          <w:bCs/>
          <w:sz w:val="28"/>
          <w:szCs w:val="24"/>
          <w:lang w:val="en-GB" w:eastAsia="ja-JP"/>
        </w:rPr>
        <w:t xml:space="preserve">                    </w:t>
      </w:r>
      <w:r w:rsidR="002141D9" w:rsidRPr="002141D9">
        <w:rPr>
          <w:rFonts w:ascii="Arial" w:eastAsia="Batang" w:hAnsi="Arial" w:cs="Arial"/>
          <w:b/>
          <w:bCs/>
          <w:sz w:val="28"/>
          <w:szCs w:val="24"/>
          <w:lang w:val="en-GB"/>
        </w:rPr>
        <w:tab/>
        <w:t>R1-1</w:t>
      </w:r>
      <w:r w:rsidR="002141D9" w:rsidRPr="002141D9">
        <w:rPr>
          <w:rFonts w:ascii="Arial" w:eastAsia="MS Mincho" w:hAnsi="Arial" w:cs="Arial" w:hint="eastAsia"/>
          <w:b/>
          <w:bCs/>
          <w:sz w:val="28"/>
          <w:szCs w:val="24"/>
          <w:lang w:val="en-GB" w:eastAsia="ja-JP"/>
        </w:rPr>
        <w:t>7</w:t>
      </w:r>
      <w:r w:rsidR="00FF1D9F">
        <w:rPr>
          <w:rFonts w:ascii="Arial" w:eastAsia="Batang" w:hAnsi="Arial" w:cs="Arial" w:hint="eastAsia"/>
          <w:b/>
          <w:bCs/>
          <w:sz w:val="28"/>
          <w:szCs w:val="24"/>
          <w:lang w:val="en-GB"/>
        </w:rPr>
        <w:t>08823</w:t>
      </w:r>
    </w:p>
    <w:p w14:paraId="6251E7FF" w14:textId="77777777" w:rsidR="002141D9" w:rsidRPr="002141D9" w:rsidRDefault="002141D9" w:rsidP="002141D9">
      <w:pPr>
        <w:tabs>
          <w:tab w:val="center" w:pos="4536"/>
          <w:tab w:val="right" w:pos="9072"/>
        </w:tabs>
        <w:autoSpaceDE/>
        <w:autoSpaceDN/>
        <w:adjustRightInd/>
        <w:snapToGrid/>
        <w:spacing w:after="0"/>
        <w:ind w:left="1440" w:hanging="1440"/>
        <w:jc w:val="left"/>
        <w:rPr>
          <w:rFonts w:ascii="Arial" w:eastAsia="MS Mincho" w:hAnsi="Arial" w:cs="Arial"/>
          <w:b/>
          <w:bCs/>
          <w:sz w:val="28"/>
          <w:szCs w:val="24"/>
          <w:lang w:val="en-GB" w:eastAsia="ja-JP"/>
        </w:rPr>
      </w:pPr>
      <w:r w:rsidRPr="002141D9">
        <w:rPr>
          <w:rFonts w:ascii="Arial" w:eastAsia="MS Mincho" w:hAnsi="Arial" w:cs="Arial"/>
          <w:b/>
          <w:bCs/>
          <w:sz w:val="28"/>
          <w:szCs w:val="24"/>
          <w:lang w:val="en-GB" w:eastAsia="ja-JP"/>
        </w:rPr>
        <w:t>Hangzhou</w:t>
      </w:r>
      <w:r w:rsidRPr="002141D9">
        <w:rPr>
          <w:rFonts w:ascii="Arial" w:eastAsia="Batang" w:hAnsi="Arial" w:cs="Arial"/>
          <w:b/>
          <w:bCs/>
          <w:sz w:val="28"/>
          <w:szCs w:val="24"/>
          <w:lang w:val="en-GB"/>
        </w:rPr>
        <w:t xml:space="preserve">, </w:t>
      </w:r>
      <w:r w:rsidRPr="002141D9">
        <w:rPr>
          <w:rFonts w:ascii="Arial" w:eastAsia="MS Mincho" w:hAnsi="Arial" w:cs="Arial" w:hint="eastAsia"/>
          <w:b/>
          <w:bCs/>
          <w:sz w:val="28"/>
          <w:szCs w:val="24"/>
          <w:lang w:val="en-GB" w:eastAsia="ja-JP"/>
        </w:rPr>
        <w:t>P.R. China</w:t>
      </w:r>
      <w:r w:rsidRPr="002141D9">
        <w:rPr>
          <w:rFonts w:ascii="Arial" w:eastAsia="Batang" w:hAnsi="Arial" w:cs="Arial"/>
          <w:b/>
          <w:bCs/>
          <w:sz w:val="28"/>
          <w:szCs w:val="24"/>
          <w:lang w:val="en-GB"/>
        </w:rPr>
        <w:t xml:space="preserve"> </w:t>
      </w:r>
      <w:r w:rsidRPr="002141D9">
        <w:rPr>
          <w:rFonts w:ascii="Arial" w:eastAsia="MS Mincho" w:hAnsi="Arial" w:cs="Arial" w:hint="eastAsia"/>
          <w:b/>
          <w:bCs/>
          <w:sz w:val="28"/>
          <w:szCs w:val="24"/>
          <w:lang w:val="en-GB" w:eastAsia="ja-JP"/>
        </w:rPr>
        <w:t xml:space="preserve">15th </w:t>
      </w:r>
      <w:r w:rsidRPr="002141D9">
        <w:rPr>
          <w:rFonts w:ascii="Arial" w:eastAsia="Batang" w:hAnsi="Arial" w:cs="Arial"/>
          <w:b/>
          <w:bCs/>
          <w:sz w:val="28"/>
          <w:szCs w:val="24"/>
          <w:lang w:val="en-GB"/>
        </w:rPr>
        <w:t xml:space="preserve">– </w:t>
      </w:r>
      <w:r w:rsidRPr="002141D9">
        <w:rPr>
          <w:rFonts w:ascii="Arial" w:eastAsia="MS Mincho" w:hAnsi="Arial" w:cs="Arial" w:hint="eastAsia"/>
          <w:b/>
          <w:bCs/>
          <w:sz w:val="28"/>
          <w:szCs w:val="24"/>
          <w:lang w:val="en-GB" w:eastAsia="ja-JP"/>
        </w:rPr>
        <w:t>19th</w:t>
      </w:r>
      <w:r w:rsidRPr="002141D9">
        <w:rPr>
          <w:rFonts w:ascii="Arial" w:eastAsia="Batang" w:hAnsi="Arial" w:cs="Arial"/>
          <w:b/>
          <w:bCs/>
          <w:sz w:val="28"/>
          <w:szCs w:val="24"/>
          <w:lang w:val="en-GB"/>
        </w:rPr>
        <w:t xml:space="preserve"> </w:t>
      </w:r>
      <w:r w:rsidRPr="002141D9">
        <w:rPr>
          <w:rFonts w:ascii="Arial" w:eastAsia="MS Mincho" w:hAnsi="Arial" w:cs="Arial" w:hint="eastAsia"/>
          <w:b/>
          <w:bCs/>
          <w:sz w:val="28"/>
          <w:szCs w:val="24"/>
          <w:lang w:val="en-GB" w:eastAsia="ja-JP"/>
        </w:rPr>
        <w:t>May</w:t>
      </w:r>
      <w:r w:rsidRPr="002141D9">
        <w:rPr>
          <w:rFonts w:ascii="Arial" w:eastAsia="Batang" w:hAnsi="Arial" w:cs="Arial"/>
          <w:b/>
          <w:bCs/>
          <w:sz w:val="28"/>
          <w:szCs w:val="24"/>
          <w:lang w:val="en-GB"/>
        </w:rPr>
        <w:t xml:space="preserve"> 201</w:t>
      </w:r>
      <w:r w:rsidRPr="002141D9">
        <w:rPr>
          <w:rFonts w:ascii="Arial" w:eastAsia="MS Mincho" w:hAnsi="Arial" w:cs="Arial" w:hint="eastAsia"/>
          <w:b/>
          <w:bCs/>
          <w:sz w:val="28"/>
          <w:szCs w:val="24"/>
          <w:lang w:val="en-GB" w:eastAsia="ja-JP"/>
        </w:rPr>
        <w:t>7</w:t>
      </w:r>
    </w:p>
    <w:p w14:paraId="7B3DFE78" w14:textId="77777777" w:rsidR="002141D9" w:rsidRPr="002141D9" w:rsidRDefault="002141D9" w:rsidP="002141D9">
      <w:pPr>
        <w:tabs>
          <w:tab w:val="left" w:pos="1701"/>
          <w:tab w:val="right" w:pos="9072"/>
          <w:tab w:val="right" w:pos="10206"/>
        </w:tabs>
        <w:autoSpaceDE/>
        <w:autoSpaceDN/>
        <w:adjustRightInd/>
        <w:snapToGrid/>
        <w:spacing w:after="0"/>
        <w:ind w:left="1440" w:hanging="1440"/>
        <w:jc w:val="left"/>
        <w:rPr>
          <w:rFonts w:ascii="Arial" w:eastAsia="Batang" w:hAnsi="Arial"/>
          <w:b/>
          <w:sz w:val="18"/>
          <w:szCs w:val="20"/>
          <w:lang w:val="en-GB"/>
        </w:rPr>
      </w:pPr>
    </w:p>
    <w:p w14:paraId="145843D2" w14:textId="77777777" w:rsidR="002141D9" w:rsidRPr="002141D9" w:rsidRDefault="002141D9" w:rsidP="002141D9">
      <w:pPr>
        <w:autoSpaceDE/>
        <w:autoSpaceDN/>
        <w:adjustRightInd/>
        <w:snapToGrid/>
        <w:spacing w:after="0"/>
        <w:ind w:left="1440" w:hanging="1440"/>
        <w:jc w:val="left"/>
        <w:rPr>
          <w:rFonts w:ascii="Times" w:eastAsia="Batang" w:hAnsi="Times"/>
          <w:sz w:val="20"/>
          <w:szCs w:val="20"/>
          <w:lang w:val="en-GB"/>
        </w:rPr>
      </w:pPr>
    </w:p>
    <w:p w14:paraId="1951DFCF" w14:textId="67C58126" w:rsidR="008559C6" w:rsidRPr="008559C6" w:rsidRDefault="008559C6" w:rsidP="008559C6">
      <w:pPr>
        <w:pStyle w:val="TdocHeader2"/>
        <w:spacing w:after="60"/>
        <w:jc w:val="left"/>
        <w:rPr>
          <w:sz w:val="20"/>
        </w:rPr>
      </w:pPr>
      <w:r w:rsidRPr="00183562">
        <w:rPr>
          <w:sz w:val="20"/>
        </w:rPr>
        <w:t>Source:</w:t>
      </w:r>
      <w:r w:rsidRPr="00183562">
        <w:rPr>
          <w:sz w:val="20"/>
        </w:rPr>
        <w:tab/>
      </w:r>
      <w:r w:rsidRPr="008559C6">
        <w:rPr>
          <w:sz w:val="20"/>
        </w:rPr>
        <w:t>Xiaomi</w:t>
      </w:r>
    </w:p>
    <w:p w14:paraId="7503D0BA" w14:textId="0D82A609" w:rsidR="008559C6" w:rsidRPr="008559C6" w:rsidRDefault="008559C6" w:rsidP="008559C6">
      <w:pPr>
        <w:pStyle w:val="TdocHeader2"/>
        <w:spacing w:after="60"/>
        <w:jc w:val="left"/>
        <w:rPr>
          <w:sz w:val="20"/>
        </w:rPr>
      </w:pPr>
      <w:r w:rsidRPr="00183562">
        <w:rPr>
          <w:sz w:val="20"/>
        </w:rPr>
        <w:t xml:space="preserve">Title: </w:t>
      </w:r>
      <w:r w:rsidRPr="00183562">
        <w:rPr>
          <w:sz w:val="20"/>
        </w:rPr>
        <w:tab/>
      </w:r>
      <w:r w:rsidRPr="008559C6">
        <w:rPr>
          <w:sz w:val="20"/>
        </w:rPr>
        <w:t>Discussion on the design of group common PDCCH</w:t>
      </w:r>
    </w:p>
    <w:p w14:paraId="2E6B692E" w14:textId="36637DEA" w:rsidR="008559C6" w:rsidRPr="008559C6" w:rsidRDefault="008559C6" w:rsidP="008559C6">
      <w:pPr>
        <w:pStyle w:val="TdocHeader2"/>
        <w:spacing w:after="60"/>
        <w:jc w:val="left"/>
        <w:rPr>
          <w:sz w:val="20"/>
        </w:rPr>
      </w:pPr>
      <w:r w:rsidRPr="008559C6">
        <w:rPr>
          <w:sz w:val="20"/>
        </w:rPr>
        <w:t>Agenda Item:</w:t>
      </w:r>
      <w:r w:rsidRPr="008559C6">
        <w:rPr>
          <w:sz w:val="20"/>
        </w:rPr>
        <w:tab/>
      </w:r>
      <w:r>
        <w:rPr>
          <w:sz w:val="20"/>
        </w:rPr>
        <w:t>7</w:t>
      </w:r>
      <w:r w:rsidRPr="008559C6">
        <w:rPr>
          <w:rFonts w:hint="eastAsia"/>
          <w:sz w:val="20"/>
        </w:rPr>
        <w:t>.1.3.1.</w:t>
      </w:r>
      <w:r>
        <w:rPr>
          <w:rFonts w:hint="eastAsia"/>
          <w:sz w:val="20"/>
        </w:rPr>
        <w:t>5</w:t>
      </w:r>
    </w:p>
    <w:p w14:paraId="69AEDC0E" w14:textId="19165EFB" w:rsidR="008559C6" w:rsidRPr="008559C6" w:rsidRDefault="008559C6" w:rsidP="008559C6">
      <w:pPr>
        <w:pStyle w:val="TdocHeader2"/>
        <w:spacing w:after="60"/>
        <w:jc w:val="left"/>
        <w:rPr>
          <w:sz w:val="20"/>
        </w:rPr>
      </w:pPr>
      <w:r w:rsidRPr="00183562">
        <w:rPr>
          <w:sz w:val="20"/>
        </w:rPr>
        <w:t>Document for:</w:t>
      </w:r>
      <w:r w:rsidRPr="00183562">
        <w:rPr>
          <w:sz w:val="20"/>
        </w:rPr>
        <w:tab/>
      </w:r>
      <w:r w:rsidRPr="008559C6">
        <w:rPr>
          <w:sz w:val="20"/>
        </w:rPr>
        <w:t>Discussion</w:t>
      </w:r>
    </w:p>
    <w:p w14:paraId="5330FC74" w14:textId="77777777" w:rsidR="008559C6" w:rsidRPr="008559C6" w:rsidRDefault="008559C6" w:rsidP="002141D9">
      <w:pPr>
        <w:tabs>
          <w:tab w:val="left" w:pos="1701"/>
          <w:tab w:val="right" w:pos="9072"/>
          <w:tab w:val="right" w:pos="10206"/>
        </w:tabs>
        <w:autoSpaceDE/>
        <w:autoSpaceDN/>
        <w:adjustRightInd/>
        <w:snapToGrid/>
        <w:spacing w:after="0"/>
        <w:ind w:left="1440" w:hanging="1440"/>
        <w:jc w:val="left"/>
        <w:rPr>
          <w:rFonts w:ascii="Arial" w:eastAsia="Batang" w:hAnsi="Arial"/>
          <w:b/>
          <w:sz w:val="18"/>
          <w:szCs w:val="20"/>
          <w:lang w:val="en-GB"/>
        </w:rPr>
      </w:pPr>
    </w:p>
    <w:p w14:paraId="721732E5" w14:textId="653B66B6" w:rsidR="005D6354" w:rsidRPr="00447E0C" w:rsidRDefault="005D6354" w:rsidP="002141D9">
      <w:pPr>
        <w:tabs>
          <w:tab w:val="right" w:pos="9216"/>
        </w:tabs>
        <w:spacing w:after="0"/>
        <w:jc w:val="left"/>
        <w:rPr>
          <w:b/>
          <w:sz w:val="16"/>
          <w:szCs w:val="16"/>
        </w:rPr>
      </w:pPr>
    </w:p>
    <w:p w14:paraId="7F085CBF" w14:textId="77777777" w:rsidR="005D6354" w:rsidRDefault="005D6354" w:rsidP="005D6354">
      <w:pPr>
        <w:pStyle w:val="1"/>
        <w:rPr>
          <w:lang w:eastAsia="zh-CN"/>
        </w:rPr>
      </w:pPr>
      <w:r>
        <w:rPr>
          <w:lang w:eastAsia="zh-CN"/>
        </w:rPr>
        <w:t>Introduction</w:t>
      </w:r>
    </w:p>
    <w:p w14:paraId="28A5DB11" w14:textId="18D692B1" w:rsidR="007E6616" w:rsidRDefault="007E6616" w:rsidP="005D6354">
      <w:pPr>
        <w:widowControl w:val="0"/>
        <w:spacing w:before="120"/>
        <w:rPr>
          <w:rFonts w:eastAsia="MS Mincho"/>
        </w:rPr>
      </w:pPr>
      <w:r>
        <w:rPr>
          <w:rFonts w:eastAsia="MS Mincho"/>
        </w:rPr>
        <w:t xml:space="preserve">In the 3GPP RAN1 NR Ad Hoc meeting, the following agreements </w:t>
      </w:r>
      <w:r w:rsidR="003B07F5">
        <w:rPr>
          <w:rFonts w:eastAsia="MS Mincho"/>
        </w:rPr>
        <w:t xml:space="preserve">were made </w:t>
      </w:r>
      <w:r>
        <w:rPr>
          <w:rFonts w:eastAsia="MS Mincho"/>
        </w:rPr>
        <w:t>on the group co</w:t>
      </w:r>
      <w:r w:rsidR="003B07F5">
        <w:rPr>
          <w:rFonts w:eastAsia="MS Mincho"/>
        </w:rPr>
        <w:t>mmon PDCCH</w:t>
      </w:r>
      <w:r w:rsidR="00CF2C85">
        <w:rPr>
          <w:rFonts w:eastAsia="MS Mincho"/>
        </w:rPr>
        <w:t xml:space="preserve"> </w:t>
      </w:r>
      <w:r w:rsidR="00CF2C85" w:rsidRPr="0044019B">
        <w:rPr>
          <w:rFonts w:eastAsia="MS Mincho"/>
        </w:rPr>
        <w:t>[1].</w:t>
      </w:r>
    </w:p>
    <w:p w14:paraId="1589050C" w14:textId="77777777" w:rsidR="00F94E22" w:rsidRPr="00A56DE0" w:rsidRDefault="00F94E22" w:rsidP="00A56DE0">
      <w:pPr>
        <w:rPr>
          <w:rFonts w:eastAsia="MS Mincho"/>
          <w:szCs w:val="20"/>
          <w:lang w:eastAsia="ja-JP"/>
        </w:rPr>
      </w:pPr>
      <w:r w:rsidRPr="00A56DE0">
        <w:rPr>
          <w:rFonts w:eastAsia="MS Mincho" w:hint="eastAsia"/>
          <w:b/>
          <w:highlight w:val="green"/>
          <w:u w:val="single"/>
          <w:lang w:eastAsia="ja-JP"/>
        </w:rPr>
        <w:t>Agreements:</w:t>
      </w:r>
    </w:p>
    <w:p w14:paraId="4493570E" w14:textId="77777777" w:rsidR="00F94E22" w:rsidRPr="00F24B1D" w:rsidRDefault="00F94E22" w:rsidP="00F94E22">
      <w:pPr>
        <w:numPr>
          <w:ilvl w:val="0"/>
          <w:numId w:val="38"/>
        </w:numPr>
        <w:autoSpaceDE/>
        <w:autoSpaceDN/>
        <w:adjustRightInd/>
        <w:snapToGrid/>
        <w:spacing w:after="0"/>
        <w:rPr>
          <w:rFonts w:eastAsia="MS Mincho"/>
          <w:szCs w:val="20"/>
          <w:lang w:eastAsia="ja-JP"/>
        </w:rPr>
      </w:pPr>
      <w:r w:rsidRPr="00F24B1D">
        <w:rPr>
          <w:rFonts w:eastAsia="MS Mincho"/>
          <w:szCs w:val="20"/>
          <w:lang w:eastAsia="ja-JP"/>
        </w:rPr>
        <w:t xml:space="preserve">NR supports a ‘group common PDCCH’ carrying information of e.g. the slot structure. </w:t>
      </w:r>
    </w:p>
    <w:p w14:paraId="637F88AE"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rFonts w:eastAsia="MS Mincho"/>
          <w:szCs w:val="20"/>
          <w:lang w:eastAsia="ja-JP"/>
        </w:rPr>
        <w:t>If the UE does not receive the ‘group common PDCCH’ the UE should be able to receive at least PDCCH in a slot, at least if the gNB did not transmit the ‘group common PDCCH’.</w:t>
      </w:r>
    </w:p>
    <w:p w14:paraId="2EAB57D3"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rFonts w:eastAsia="MS Mincho"/>
          <w:szCs w:val="20"/>
          <w:lang w:eastAsia="ja-JP"/>
        </w:rPr>
        <w:t>The network will inform through RRC signalling the UE whether to decode the ‘group common PDCCH’ or not</w:t>
      </w:r>
    </w:p>
    <w:p w14:paraId="7E55009B"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rFonts w:eastAsia="MS Mincho"/>
          <w:szCs w:val="20"/>
          <w:lang w:eastAsia="ja-JP"/>
        </w:rPr>
        <w:t>Common does not necessarily imply common per cell.</w:t>
      </w:r>
    </w:p>
    <w:p w14:paraId="1E053B0A"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szCs w:val="20"/>
        </w:rPr>
        <w:t>Continue the discussion on the detailed content of the ‘group common PDCCH’ including usage for TDD and FDD</w:t>
      </w:r>
    </w:p>
    <w:p w14:paraId="49B6A482" w14:textId="77777777" w:rsidR="00F94E22" w:rsidRPr="00F24B1D" w:rsidRDefault="00F94E22" w:rsidP="00F94E22">
      <w:pPr>
        <w:numPr>
          <w:ilvl w:val="1"/>
          <w:numId w:val="38"/>
        </w:numPr>
        <w:autoSpaceDE/>
        <w:autoSpaceDN/>
        <w:adjustRightInd/>
        <w:snapToGrid/>
        <w:spacing w:after="0"/>
        <w:rPr>
          <w:rFonts w:eastAsia="MS Mincho"/>
          <w:szCs w:val="20"/>
          <w:lang w:eastAsia="ja-JP"/>
        </w:rPr>
      </w:pPr>
      <w:r w:rsidRPr="00F24B1D">
        <w:rPr>
          <w:szCs w:val="20"/>
        </w:rPr>
        <w:t>The term ‘group common PDCCH’ refers to a channel (either a PDCCH or a separately designed channel) that carries information intended for the group of UEs.</w:t>
      </w:r>
    </w:p>
    <w:p w14:paraId="7ED1D9B4" w14:textId="77777777" w:rsidR="00F94E22" w:rsidRPr="0032404A" w:rsidRDefault="00F94E22" w:rsidP="00F94E22">
      <w:pPr>
        <w:rPr>
          <w:rFonts w:eastAsia="PMingLiU"/>
          <w:szCs w:val="20"/>
          <w:lang w:eastAsia="zh-TW"/>
        </w:rPr>
      </w:pPr>
    </w:p>
    <w:p w14:paraId="5399BD5C" w14:textId="77777777" w:rsidR="00F94E22" w:rsidRPr="00D810AA" w:rsidRDefault="00F94E22" w:rsidP="00F94E22">
      <w:pPr>
        <w:rPr>
          <w:rFonts w:eastAsia="MS Mincho"/>
          <w:b/>
          <w:u w:val="single"/>
          <w:lang w:eastAsia="ja-JP"/>
        </w:rPr>
      </w:pPr>
      <w:r w:rsidRPr="00D810AA">
        <w:rPr>
          <w:rFonts w:eastAsia="MS Mincho" w:hint="eastAsia"/>
          <w:b/>
          <w:highlight w:val="green"/>
          <w:u w:val="single"/>
          <w:lang w:eastAsia="ja-JP"/>
        </w:rPr>
        <w:t>Agreements:</w:t>
      </w:r>
    </w:p>
    <w:p w14:paraId="4C024CB6" w14:textId="77777777" w:rsidR="00F94E22" w:rsidRPr="00D810AA" w:rsidRDefault="00F94E22" w:rsidP="00F94E22">
      <w:pPr>
        <w:pStyle w:val="af"/>
        <w:numPr>
          <w:ilvl w:val="0"/>
          <w:numId w:val="39"/>
        </w:numPr>
        <w:autoSpaceDE/>
        <w:autoSpaceDN/>
        <w:adjustRightInd/>
        <w:snapToGrid/>
        <w:spacing w:after="0"/>
        <w:ind w:firstLineChars="0"/>
        <w:contextualSpacing/>
        <w:jc w:val="left"/>
        <w:rPr>
          <w:rFonts w:eastAsia="MS Mincho"/>
          <w:szCs w:val="20"/>
          <w:lang w:eastAsia="ja-JP"/>
        </w:rPr>
      </w:pPr>
      <w:r w:rsidRPr="00D810AA">
        <w:rPr>
          <w:rFonts w:eastAsia="MS Mincho"/>
          <w:szCs w:val="20"/>
          <w:lang w:eastAsia="ja-JP"/>
        </w:rPr>
        <w:t>The staring position of downlink data in a slot can be explicitly and dynamically indicated to the UE.</w:t>
      </w:r>
    </w:p>
    <w:p w14:paraId="0F45B73D" w14:textId="77777777" w:rsidR="00F94E22" w:rsidRPr="00D810AA" w:rsidRDefault="00F94E22" w:rsidP="00F94E22">
      <w:pPr>
        <w:pStyle w:val="af"/>
        <w:numPr>
          <w:ilvl w:val="1"/>
          <w:numId w:val="39"/>
        </w:numPr>
        <w:autoSpaceDE/>
        <w:autoSpaceDN/>
        <w:adjustRightInd/>
        <w:snapToGrid/>
        <w:spacing w:after="0"/>
        <w:ind w:firstLineChars="0"/>
        <w:contextualSpacing/>
        <w:jc w:val="left"/>
        <w:rPr>
          <w:rFonts w:eastAsia="MS Mincho"/>
          <w:szCs w:val="20"/>
          <w:lang w:eastAsia="ja-JP"/>
        </w:rPr>
      </w:pPr>
      <w:r w:rsidRPr="00D810AA">
        <w:rPr>
          <w:rFonts w:eastAsia="MS Mincho"/>
          <w:szCs w:val="20"/>
          <w:lang w:eastAsia="ja-JP"/>
        </w:rPr>
        <w:t>FFS: signaled in the UE-specific DCI and/or a ‘group-common PDCCH’</w:t>
      </w:r>
    </w:p>
    <w:p w14:paraId="00935FD4" w14:textId="77777777" w:rsidR="00F94E22" w:rsidRPr="00D810AA" w:rsidRDefault="00F94E22" w:rsidP="00F94E22">
      <w:pPr>
        <w:pStyle w:val="af"/>
        <w:numPr>
          <w:ilvl w:val="1"/>
          <w:numId w:val="39"/>
        </w:numPr>
        <w:autoSpaceDE/>
        <w:autoSpaceDN/>
        <w:adjustRightInd/>
        <w:snapToGrid/>
        <w:spacing w:after="0"/>
        <w:ind w:firstLineChars="0"/>
        <w:contextualSpacing/>
        <w:jc w:val="left"/>
        <w:rPr>
          <w:rFonts w:eastAsia="MS Mincho"/>
          <w:szCs w:val="20"/>
          <w:lang w:eastAsia="ja-JP"/>
        </w:rPr>
      </w:pPr>
      <w:r w:rsidRPr="00D810AA">
        <w:rPr>
          <w:rFonts w:eastAsia="MS Mincho"/>
          <w:szCs w:val="20"/>
          <w:lang w:eastAsia="ja-JP"/>
        </w:rPr>
        <w:t>FFS: how and with what granularity the unused control resource set(s) can be used for data</w:t>
      </w:r>
    </w:p>
    <w:p w14:paraId="30CFF220" w14:textId="77777777" w:rsidR="00F94E22" w:rsidRDefault="00F94E22" w:rsidP="00F94E22">
      <w:pPr>
        <w:rPr>
          <w:rFonts w:eastAsia="PMingLiU"/>
          <w:b/>
          <w:highlight w:val="green"/>
          <w:u w:val="single"/>
          <w:lang w:eastAsia="zh-TW"/>
        </w:rPr>
      </w:pPr>
    </w:p>
    <w:p w14:paraId="3488929D" w14:textId="77777777" w:rsidR="00F94E22" w:rsidRPr="007F7517" w:rsidRDefault="00F94E22" w:rsidP="00F94E22">
      <w:pPr>
        <w:rPr>
          <w:rFonts w:eastAsia="MS Mincho"/>
          <w:b/>
          <w:u w:val="single"/>
          <w:lang w:eastAsia="ja-JP"/>
        </w:rPr>
      </w:pPr>
      <w:r w:rsidRPr="00633195">
        <w:rPr>
          <w:rFonts w:eastAsia="MS Mincho" w:hint="eastAsia"/>
          <w:b/>
          <w:highlight w:val="green"/>
          <w:u w:val="single"/>
          <w:lang w:eastAsia="ja-JP"/>
        </w:rPr>
        <w:t>Agreements:</w:t>
      </w:r>
    </w:p>
    <w:p w14:paraId="766D5FF8" w14:textId="77777777" w:rsidR="00F94E22" w:rsidRDefault="00F94E22" w:rsidP="00F94E22">
      <w:pPr>
        <w:pStyle w:val="af"/>
        <w:numPr>
          <w:ilvl w:val="0"/>
          <w:numId w:val="40"/>
        </w:numPr>
        <w:autoSpaceDE/>
        <w:autoSpaceDN/>
        <w:adjustRightInd/>
        <w:snapToGrid/>
        <w:spacing w:after="0"/>
        <w:ind w:firstLineChars="0"/>
        <w:contextualSpacing/>
        <w:jc w:val="left"/>
        <w:rPr>
          <w:rFonts w:eastAsia="MS Mincho"/>
          <w:szCs w:val="20"/>
          <w:lang w:eastAsia="ja-JP"/>
        </w:rPr>
      </w:pPr>
      <w:r w:rsidRPr="00D4557D">
        <w:rPr>
          <w:rFonts w:eastAsia="MS Mincho"/>
          <w:szCs w:val="20"/>
          <w:lang w:eastAsia="ja-JP"/>
        </w:rPr>
        <w:t>The UE will have the possibility to determine whether some blind decodings can be skipped based on information on a ‘group common PDCCH’ (if present).</w:t>
      </w:r>
    </w:p>
    <w:p w14:paraId="5D07A7DD" w14:textId="77777777" w:rsidR="00F94E22" w:rsidRPr="00D4557D" w:rsidRDefault="00F94E22" w:rsidP="00F94E22">
      <w:pPr>
        <w:pStyle w:val="af"/>
        <w:numPr>
          <w:ilvl w:val="0"/>
          <w:numId w:val="40"/>
        </w:numPr>
        <w:autoSpaceDE/>
        <w:autoSpaceDN/>
        <w:adjustRightInd/>
        <w:snapToGrid/>
        <w:spacing w:after="0"/>
        <w:ind w:firstLineChars="0"/>
        <w:contextualSpacing/>
        <w:jc w:val="left"/>
        <w:rPr>
          <w:rFonts w:eastAsia="MS Mincho"/>
          <w:szCs w:val="20"/>
          <w:lang w:eastAsia="ja-JP"/>
        </w:rPr>
      </w:pPr>
      <w:r w:rsidRPr="00D4557D">
        <w:rPr>
          <w:rFonts w:eastAsia="MS Mincho"/>
          <w:szCs w:val="20"/>
          <w:lang w:eastAsia="ja-JP"/>
        </w:rPr>
        <w:t>FFS: if the data starting position is signaled on the group common PDCCH, the UE may exploit this information to skip some blind decodings</w:t>
      </w:r>
    </w:p>
    <w:p w14:paraId="09BFA7C6" w14:textId="77777777" w:rsidR="00F94E22" w:rsidRPr="00D4557D" w:rsidRDefault="00F94E22" w:rsidP="00F94E22">
      <w:pPr>
        <w:pStyle w:val="af"/>
        <w:numPr>
          <w:ilvl w:val="0"/>
          <w:numId w:val="40"/>
        </w:numPr>
        <w:autoSpaceDE/>
        <w:autoSpaceDN/>
        <w:adjustRightInd/>
        <w:snapToGrid/>
        <w:spacing w:after="0"/>
        <w:ind w:firstLineChars="0"/>
        <w:contextualSpacing/>
        <w:jc w:val="left"/>
        <w:rPr>
          <w:rFonts w:eastAsia="MS Mincho"/>
          <w:szCs w:val="20"/>
          <w:lang w:eastAsia="ja-JP"/>
        </w:rPr>
      </w:pPr>
      <w:r w:rsidRPr="00D4557D">
        <w:rPr>
          <w:rFonts w:eastAsia="MS Mincho"/>
          <w:szCs w:val="20"/>
          <w:lang w:eastAsia="ja-JP"/>
        </w:rPr>
        <w:t>FFS: if the end of the control resource set is signaled on the ‘group common PDCCH’, the UE may exploit this information to skip some blind decodings</w:t>
      </w:r>
    </w:p>
    <w:p w14:paraId="18940C48" w14:textId="77777777" w:rsidR="00F94E22" w:rsidRPr="00D4557D" w:rsidRDefault="00F94E22" w:rsidP="00F94E22">
      <w:pPr>
        <w:pStyle w:val="af"/>
        <w:numPr>
          <w:ilvl w:val="0"/>
          <w:numId w:val="40"/>
        </w:numPr>
        <w:autoSpaceDE/>
        <w:autoSpaceDN/>
        <w:adjustRightInd/>
        <w:snapToGrid/>
        <w:spacing w:after="0"/>
        <w:ind w:firstLineChars="0"/>
        <w:contextualSpacing/>
        <w:jc w:val="left"/>
        <w:rPr>
          <w:rFonts w:eastAsia="MS Mincho"/>
          <w:szCs w:val="20"/>
          <w:lang w:eastAsia="ja-JP"/>
        </w:rPr>
      </w:pPr>
      <w:r w:rsidRPr="00D4557D">
        <w:rPr>
          <w:rFonts w:eastAsia="MS Mincho"/>
          <w:szCs w:val="20"/>
          <w:lang w:eastAsia="ja-JP"/>
        </w:rPr>
        <w:t>FFS: how to handle the case when there is no ‘group common PDCCH’ in a slot</w:t>
      </w:r>
    </w:p>
    <w:p w14:paraId="02A7E639" w14:textId="77777777" w:rsidR="00F94E22" w:rsidRPr="00D4557D" w:rsidRDefault="00F94E22" w:rsidP="00F94E22">
      <w:pPr>
        <w:pStyle w:val="af"/>
        <w:numPr>
          <w:ilvl w:val="0"/>
          <w:numId w:val="40"/>
        </w:numPr>
        <w:autoSpaceDE/>
        <w:autoSpaceDN/>
        <w:adjustRightInd/>
        <w:snapToGrid/>
        <w:spacing w:after="0"/>
        <w:ind w:firstLineChars="0"/>
        <w:contextualSpacing/>
        <w:jc w:val="left"/>
        <w:rPr>
          <w:rFonts w:eastAsia="MS Mincho"/>
          <w:szCs w:val="20"/>
          <w:lang w:eastAsia="ja-JP"/>
        </w:rPr>
      </w:pPr>
      <w:r w:rsidRPr="00D4557D">
        <w:rPr>
          <w:rFonts w:eastAsia="MS Mincho"/>
          <w:szCs w:val="20"/>
          <w:lang w:eastAsia="ja-JP"/>
        </w:rPr>
        <w:t>When monitoring for a PDCCH, the UE should be able to process a detected PDCCH irrespective of whether the ‘group common PDCCH’ is received or not</w:t>
      </w:r>
    </w:p>
    <w:p w14:paraId="7E37D7CB" w14:textId="77777777" w:rsidR="00F94E22" w:rsidRDefault="00F94E22" w:rsidP="00F94E22">
      <w:pPr>
        <w:rPr>
          <w:szCs w:val="20"/>
        </w:rPr>
      </w:pPr>
    </w:p>
    <w:p w14:paraId="2815C4D5" w14:textId="77777777" w:rsidR="00F94E22" w:rsidRPr="00476354" w:rsidRDefault="00F94E22" w:rsidP="00F94E22">
      <w:pPr>
        <w:pStyle w:val="a3"/>
        <w:spacing w:after="0"/>
        <w:rPr>
          <w:b/>
          <w:u w:val="single"/>
          <w:lang w:eastAsia="ja-JP"/>
        </w:rPr>
      </w:pPr>
      <w:r w:rsidRPr="00BA7C2D">
        <w:rPr>
          <w:rFonts w:hint="eastAsia"/>
          <w:b/>
          <w:highlight w:val="green"/>
          <w:u w:val="single"/>
          <w:lang w:eastAsia="ja-JP"/>
        </w:rPr>
        <w:t>Agreements:</w:t>
      </w:r>
    </w:p>
    <w:p w14:paraId="662CF83E" w14:textId="77777777" w:rsidR="00F94E22" w:rsidRPr="00476354" w:rsidRDefault="00F94E22" w:rsidP="00F94E22">
      <w:pPr>
        <w:pStyle w:val="a3"/>
        <w:numPr>
          <w:ilvl w:val="0"/>
          <w:numId w:val="41"/>
        </w:numPr>
        <w:autoSpaceDE/>
        <w:autoSpaceDN/>
        <w:adjustRightInd/>
        <w:snapToGrid/>
        <w:spacing w:after="0"/>
        <w:rPr>
          <w:lang w:eastAsia="ja-JP"/>
        </w:rPr>
      </w:pPr>
      <w:r w:rsidRPr="00476354">
        <w:rPr>
          <w:lang w:eastAsia="ja-JP"/>
        </w:rPr>
        <w:t>‘Slot format related information’</w:t>
      </w:r>
    </w:p>
    <w:p w14:paraId="663C4CB2" w14:textId="77777777" w:rsidR="00F94E22" w:rsidRPr="00476354" w:rsidRDefault="00F94E22" w:rsidP="00F94E22">
      <w:pPr>
        <w:pStyle w:val="a3"/>
        <w:numPr>
          <w:ilvl w:val="1"/>
          <w:numId w:val="41"/>
        </w:numPr>
        <w:autoSpaceDE/>
        <w:autoSpaceDN/>
        <w:adjustRightInd/>
        <w:snapToGrid/>
        <w:spacing w:after="0"/>
        <w:rPr>
          <w:lang w:eastAsia="ja-JP"/>
        </w:rPr>
      </w:pPr>
      <w:r w:rsidRPr="00476354">
        <w:rPr>
          <w:lang w:eastAsia="ja-JP"/>
        </w:rPr>
        <w:t>Information from which the UE can derive at least which symbols in a slot that are ‘DL’, ‘UL’ (for Rel-15), and ‘other’, respectively</w:t>
      </w:r>
    </w:p>
    <w:p w14:paraId="32573144" w14:textId="77777777" w:rsidR="00F94E22" w:rsidRPr="00476354" w:rsidRDefault="00F94E22" w:rsidP="00F94E22">
      <w:pPr>
        <w:pStyle w:val="a3"/>
        <w:numPr>
          <w:ilvl w:val="1"/>
          <w:numId w:val="41"/>
        </w:numPr>
        <w:autoSpaceDE/>
        <w:autoSpaceDN/>
        <w:adjustRightInd/>
        <w:snapToGrid/>
        <w:spacing w:after="0"/>
        <w:rPr>
          <w:lang w:eastAsia="ja-JP"/>
        </w:rPr>
      </w:pPr>
      <w:r w:rsidRPr="00476354">
        <w:rPr>
          <w:lang w:eastAsia="ja-JP"/>
        </w:rPr>
        <w:t>FFS: if ‘other’ can be subdivided into ‘blank’, ‘sidelink’, etc</w:t>
      </w:r>
    </w:p>
    <w:p w14:paraId="5609C70F" w14:textId="77777777" w:rsidR="00F94E22" w:rsidRPr="00476354" w:rsidRDefault="00F94E22" w:rsidP="00F94E22">
      <w:pPr>
        <w:pStyle w:val="a3"/>
        <w:numPr>
          <w:ilvl w:val="0"/>
          <w:numId w:val="41"/>
        </w:numPr>
        <w:autoSpaceDE/>
        <w:autoSpaceDN/>
        <w:adjustRightInd/>
        <w:snapToGrid/>
        <w:spacing w:after="0"/>
        <w:rPr>
          <w:lang w:eastAsia="ja-JP"/>
        </w:rPr>
      </w:pPr>
      <w:r w:rsidRPr="00BA7C2D">
        <w:rPr>
          <w:rFonts w:hint="eastAsia"/>
          <w:lang w:eastAsia="ja-JP"/>
        </w:rPr>
        <w:t xml:space="preserve">FFS: </w:t>
      </w:r>
      <w:r w:rsidRPr="00476354">
        <w:rPr>
          <w:lang w:eastAsia="ja-JP"/>
        </w:rPr>
        <w:t>‘Control resource set duration’</w:t>
      </w:r>
    </w:p>
    <w:p w14:paraId="50265D9E" w14:textId="77777777" w:rsidR="00F94E22" w:rsidRPr="00476354" w:rsidRDefault="00F94E22" w:rsidP="00F94E22">
      <w:pPr>
        <w:pStyle w:val="a3"/>
        <w:numPr>
          <w:ilvl w:val="1"/>
          <w:numId w:val="41"/>
        </w:numPr>
        <w:autoSpaceDE/>
        <w:autoSpaceDN/>
        <w:adjustRightInd/>
        <w:snapToGrid/>
        <w:spacing w:after="0"/>
        <w:rPr>
          <w:lang w:eastAsia="ja-JP"/>
        </w:rPr>
      </w:pPr>
      <w:r w:rsidRPr="00BA7C2D">
        <w:rPr>
          <w:rFonts w:hint="eastAsia"/>
          <w:lang w:eastAsia="ja-JP"/>
        </w:rPr>
        <w:lastRenderedPageBreak/>
        <w:t xml:space="preserve">FFS: </w:t>
      </w:r>
      <w:r w:rsidRPr="00476354">
        <w:rPr>
          <w:lang w:eastAsia="ja-JP"/>
        </w:rPr>
        <w:t xml:space="preserve">Indicates the duration of the control resource set(s) </w:t>
      </w:r>
    </w:p>
    <w:p w14:paraId="6AE26810" w14:textId="77777777" w:rsidR="00F94E22" w:rsidRPr="00476354" w:rsidRDefault="00F94E22" w:rsidP="00F94E22">
      <w:pPr>
        <w:pStyle w:val="a3"/>
        <w:numPr>
          <w:ilvl w:val="1"/>
          <w:numId w:val="41"/>
        </w:numPr>
        <w:autoSpaceDE/>
        <w:autoSpaceDN/>
        <w:adjustRightInd/>
        <w:snapToGrid/>
        <w:spacing w:after="0"/>
        <w:rPr>
          <w:lang w:eastAsia="ja-JP"/>
        </w:rPr>
      </w:pPr>
      <w:r w:rsidRPr="00BA7C2D">
        <w:rPr>
          <w:rFonts w:hint="eastAsia"/>
          <w:lang w:eastAsia="ja-JP"/>
        </w:rPr>
        <w:t xml:space="preserve">FFS: </w:t>
      </w:r>
      <w:r w:rsidRPr="00476354">
        <w:rPr>
          <w:lang w:eastAsia="ja-JP"/>
        </w:rPr>
        <w:t>Can help the UE skip some of the semi-statically configured blind decodings. If not received, the UE performs all blind decodings.</w:t>
      </w:r>
    </w:p>
    <w:p w14:paraId="671961C3" w14:textId="77777777" w:rsidR="003B07F5" w:rsidRDefault="003B07F5" w:rsidP="005D6354">
      <w:pPr>
        <w:widowControl w:val="0"/>
        <w:spacing w:before="120"/>
        <w:rPr>
          <w:rFonts w:eastAsia="MS Mincho"/>
        </w:rPr>
      </w:pPr>
    </w:p>
    <w:p w14:paraId="22E17349" w14:textId="267D3A1E" w:rsidR="005D6354" w:rsidRPr="00005D67" w:rsidRDefault="005D6354" w:rsidP="005D6354">
      <w:pPr>
        <w:widowControl w:val="0"/>
        <w:spacing w:before="120"/>
        <w:rPr>
          <w:lang w:eastAsia="zh-CN"/>
        </w:rPr>
      </w:pPr>
      <w:r>
        <w:rPr>
          <w:rFonts w:eastAsia="MS Mincho" w:hint="eastAsia"/>
        </w:rPr>
        <w:t xml:space="preserve">In this </w:t>
      </w:r>
      <w:r>
        <w:rPr>
          <w:rFonts w:eastAsia="MS Mincho"/>
        </w:rPr>
        <w:t xml:space="preserve">contribution, we present the discussion on the </w:t>
      </w:r>
      <w:r w:rsidR="003C055B">
        <w:rPr>
          <w:rFonts w:eastAsia="MS Mincho"/>
        </w:rPr>
        <w:t>design aspects of the group common PDCCH</w:t>
      </w:r>
      <w:r w:rsidR="004837FA">
        <w:rPr>
          <w:rFonts w:eastAsia="MS Mincho"/>
        </w:rPr>
        <w:t>.</w:t>
      </w:r>
    </w:p>
    <w:p w14:paraId="3E1071E4" w14:textId="77777777" w:rsidR="005D6354" w:rsidRPr="009A7382" w:rsidRDefault="005D6354" w:rsidP="005D6354">
      <w:pPr>
        <w:pBdr>
          <w:bottom w:val="single" w:sz="12" w:space="1" w:color="auto"/>
        </w:pBdr>
        <w:rPr>
          <w:sz w:val="16"/>
          <w:szCs w:val="16"/>
          <w:lang w:eastAsia="zh-CN"/>
        </w:rPr>
      </w:pPr>
    </w:p>
    <w:p w14:paraId="17EDFE6A" w14:textId="06ED110F" w:rsidR="005D6354" w:rsidRDefault="00932594" w:rsidP="005D6354">
      <w:pPr>
        <w:pStyle w:val="1"/>
        <w:rPr>
          <w:lang w:eastAsia="zh-CN"/>
        </w:rPr>
      </w:pPr>
      <w:r>
        <w:rPr>
          <w:lang w:eastAsia="zh-CN"/>
        </w:rPr>
        <w:t>Discussion</w:t>
      </w:r>
    </w:p>
    <w:p w14:paraId="4FB41C7A" w14:textId="4BB55EB8" w:rsidR="00932594" w:rsidRPr="00932594" w:rsidRDefault="00932594" w:rsidP="005D6354">
      <w:pPr>
        <w:rPr>
          <w:b/>
          <w:u w:val="single"/>
          <w:lang w:eastAsia="zh-CN"/>
        </w:rPr>
      </w:pPr>
      <w:r w:rsidRPr="00932594">
        <w:rPr>
          <w:rFonts w:hint="eastAsia"/>
          <w:b/>
          <w:u w:val="single"/>
          <w:lang w:eastAsia="zh-CN"/>
        </w:rPr>
        <w:t>Content of group common PDCCH</w:t>
      </w:r>
    </w:p>
    <w:p w14:paraId="2045E008" w14:textId="577AEA7D" w:rsidR="005D6354" w:rsidRDefault="00657F78" w:rsidP="005D6354">
      <w:pPr>
        <w:rPr>
          <w:rFonts w:eastAsia="宋体"/>
          <w:lang w:eastAsia="zh-CN"/>
        </w:rPr>
      </w:pPr>
      <w:r>
        <w:rPr>
          <w:rFonts w:eastAsia="MS Mincho"/>
          <w:lang w:eastAsia="ja-JP"/>
        </w:rPr>
        <w:t>It has been agreed that the slot format information can be delivered in the group common PDCCH</w:t>
      </w:r>
      <w:r w:rsidR="005D6354">
        <w:rPr>
          <w:rFonts w:eastAsia="宋体"/>
          <w:lang w:eastAsia="zh-CN"/>
        </w:rPr>
        <w:t>.</w:t>
      </w:r>
      <w:r>
        <w:rPr>
          <w:rFonts w:eastAsia="宋体"/>
          <w:lang w:eastAsia="zh-CN"/>
        </w:rPr>
        <w:t xml:space="preserve"> The UEs could get the transmission direction and avoid unnecessary decoding effort by detecting the group common PDCCH.</w:t>
      </w:r>
      <w:r w:rsidR="004050B2">
        <w:rPr>
          <w:rFonts w:eastAsia="宋体"/>
          <w:lang w:eastAsia="zh-CN"/>
        </w:rPr>
        <w:t xml:space="preserve"> Besides the slot information, some other information that might be delivered</w:t>
      </w:r>
      <w:r w:rsidR="00AD11A7">
        <w:rPr>
          <w:rFonts w:eastAsia="宋体"/>
          <w:lang w:eastAsia="zh-CN"/>
        </w:rPr>
        <w:t xml:space="preserve"> to further save the blind decoding effort</w:t>
      </w:r>
      <w:r w:rsidR="004050B2">
        <w:rPr>
          <w:rFonts w:eastAsia="宋体"/>
          <w:lang w:eastAsia="zh-CN"/>
        </w:rPr>
        <w:t xml:space="preserve"> in the group common PDCCH have been proposed</w:t>
      </w:r>
    </w:p>
    <w:p w14:paraId="1001D719" w14:textId="342D0AA7" w:rsidR="004050B2" w:rsidRDefault="004050B2" w:rsidP="004050B2">
      <w:pPr>
        <w:pStyle w:val="af"/>
        <w:numPr>
          <w:ilvl w:val="0"/>
          <w:numId w:val="42"/>
        </w:numPr>
        <w:ind w:firstLineChars="0"/>
        <w:rPr>
          <w:lang w:eastAsia="zh-CN"/>
        </w:rPr>
      </w:pPr>
      <w:r>
        <w:rPr>
          <w:lang w:eastAsia="zh-CN"/>
        </w:rPr>
        <w:t>C</w:t>
      </w:r>
      <w:r>
        <w:rPr>
          <w:rFonts w:hint="eastAsia"/>
          <w:lang w:eastAsia="zh-CN"/>
        </w:rPr>
        <w:t xml:space="preserve">ontrol </w:t>
      </w:r>
      <w:r>
        <w:rPr>
          <w:lang w:eastAsia="zh-CN"/>
        </w:rPr>
        <w:t>resource set duration</w:t>
      </w:r>
    </w:p>
    <w:p w14:paraId="79E68BF7" w14:textId="1D4F8502" w:rsidR="004050B2" w:rsidRDefault="004050B2" w:rsidP="004050B2">
      <w:pPr>
        <w:pStyle w:val="af"/>
        <w:ind w:left="420" w:firstLineChars="0" w:firstLine="0"/>
        <w:rPr>
          <w:lang w:eastAsia="zh-CN"/>
        </w:rPr>
      </w:pPr>
      <w:r>
        <w:rPr>
          <w:lang w:eastAsia="zh-CN"/>
        </w:rPr>
        <w:t>In the LTE design, the duration of the control region is informed via PCFICH dynamically in each subframe, the duration can be varied from 1 to 3 symbols for normal subframe. In the 5G NR system, one may argue that UE could save the blind decoding effort by exploit</w:t>
      </w:r>
      <w:r w:rsidR="000953E8">
        <w:rPr>
          <w:lang w:eastAsia="zh-CN"/>
        </w:rPr>
        <w:t>ing the control resource set dur</w:t>
      </w:r>
      <w:r>
        <w:rPr>
          <w:lang w:eastAsia="zh-CN"/>
        </w:rPr>
        <w:t>ation. However, whether this benefit can be</w:t>
      </w:r>
      <w:r w:rsidR="000F4727">
        <w:rPr>
          <w:lang w:eastAsia="zh-CN"/>
        </w:rPr>
        <w:t xml:space="preserve"> really</w:t>
      </w:r>
      <w:r>
        <w:rPr>
          <w:lang w:eastAsia="zh-CN"/>
        </w:rPr>
        <w:t xml:space="preserve"> realized depends on the search space design, e.g, the mapping rule of the PDCCH candidates to the resources. </w:t>
      </w:r>
      <w:r w:rsidR="00387F4C">
        <w:rPr>
          <w:lang w:eastAsia="zh-CN"/>
        </w:rPr>
        <w:t>Thus it is suggested to leave it FFS before the search space design has been confirmed.</w:t>
      </w:r>
    </w:p>
    <w:p w14:paraId="5558366E" w14:textId="322FEC41" w:rsidR="004050B2" w:rsidRDefault="004050B2" w:rsidP="004050B2">
      <w:pPr>
        <w:pStyle w:val="af"/>
        <w:numPr>
          <w:ilvl w:val="0"/>
          <w:numId w:val="42"/>
        </w:numPr>
        <w:ind w:firstLineChars="0"/>
        <w:rPr>
          <w:lang w:eastAsia="zh-CN"/>
        </w:rPr>
      </w:pPr>
      <w:r>
        <w:rPr>
          <w:lang w:eastAsia="zh-CN"/>
        </w:rPr>
        <w:t>Data starting position</w:t>
      </w:r>
    </w:p>
    <w:p w14:paraId="43960E6F" w14:textId="78128F6F" w:rsidR="00CF2C85" w:rsidRDefault="00CF2C85" w:rsidP="00CF2C85">
      <w:pPr>
        <w:pStyle w:val="af"/>
        <w:ind w:left="420" w:firstLineChars="0" w:firstLine="0"/>
        <w:rPr>
          <w:lang w:eastAsia="zh-CN"/>
        </w:rPr>
      </w:pPr>
      <w:r>
        <w:rPr>
          <w:lang w:eastAsia="zh-CN"/>
        </w:rPr>
        <w:t xml:space="preserve">UEs may have different data starting positions. As concluded in 3GPP RAN1 88bis meeting </w:t>
      </w:r>
      <w:r w:rsidRPr="0044019B">
        <w:rPr>
          <w:lang w:eastAsia="zh-CN"/>
        </w:rPr>
        <w:t>[2]</w:t>
      </w:r>
      <w:r>
        <w:rPr>
          <w:lang w:eastAsia="zh-CN"/>
        </w:rPr>
        <w:t xml:space="preserve">, </w:t>
      </w:r>
      <w:r>
        <w:rPr>
          <w:rFonts w:eastAsia="MS Mincho" w:hint="eastAsia"/>
          <w:iCs/>
          <w:szCs w:val="20"/>
          <w:lang w:eastAsia="ja-JP"/>
        </w:rPr>
        <w:t>t</w:t>
      </w:r>
      <w:r w:rsidRPr="00B17F99">
        <w:rPr>
          <w:rFonts w:eastAsia="MS Mincho" w:hint="eastAsia"/>
          <w:iCs/>
          <w:szCs w:val="20"/>
          <w:lang w:eastAsia="ja-JP"/>
        </w:rPr>
        <w:t xml:space="preserve">he duration of </w:t>
      </w:r>
      <w:r w:rsidRPr="00B17F99">
        <w:rPr>
          <w:rFonts w:eastAsia="MS Mincho"/>
          <w:iCs/>
          <w:szCs w:val="20"/>
          <w:lang w:eastAsia="ja-JP"/>
        </w:rPr>
        <w:t xml:space="preserve">a </w:t>
      </w:r>
      <w:r w:rsidRPr="00B17F99">
        <w:rPr>
          <w:rFonts w:eastAsia="MS Mincho" w:hint="eastAsia"/>
          <w:iCs/>
          <w:szCs w:val="20"/>
          <w:lang w:eastAsia="ja-JP"/>
        </w:rPr>
        <w:t xml:space="preserve">data transmission </w:t>
      </w:r>
      <w:r w:rsidRPr="00B17F99">
        <w:rPr>
          <w:rFonts w:eastAsia="MS Mincho"/>
          <w:iCs/>
          <w:szCs w:val="20"/>
          <w:lang w:eastAsia="ja-JP"/>
        </w:rPr>
        <w:t xml:space="preserve">in a data channel </w:t>
      </w:r>
      <w:r w:rsidRPr="00B17F99">
        <w:rPr>
          <w:rFonts w:eastAsia="MS Mincho" w:hint="eastAsia"/>
          <w:iCs/>
          <w:szCs w:val="20"/>
          <w:lang w:eastAsia="ja-JP"/>
        </w:rPr>
        <w:t xml:space="preserve">can be </w:t>
      </w:r>
      <w:r w:rsidRPr="00B17F99">
        <w:rPr>
          <w:rFonts w:eastAsia="MS Mincho"/>
          <w:iCs/>
          <w:szCs w:val="20"/>
          <w:lang w:eastAsia="ja-JP"/>
        </w:rPr>
        <w:t xml:space="preserve">semi-statically configured and/or </w:t>
      </w:r>
      <w:r w:rsidRPr="00B17F99">
        <w:rPr>
          <w:rFonts w:eastAsia="MS Mincho" w:hint="eastAsia"/>
          <w:iCs/>
          <w:szCs w:val="20"/>
          <w:lang w:eastAsia="ja-JP"/>
        </w:rPr>
        <w:t>dynamically indicated in the PDCCH scheduling the data transmission</w:t>
      </w:r>
      <w:r>
        <w:rPr>
          <w:rFonts w:eastAsia="MS Mincho"/>
          <w:iCs/>
          <w:szCs w:val="20"/>
          <w:lang w:eastAsia="ja-JP"/>
        </w:rPr>
        <w:t>. It is suggested</w:t>
      </w:r>
      <w:r w:rsidR="002E5D24">
        <w:rPr>
          <w:rFonts w:eastAsia="MS Mincho"/>
          <w:iCs/>
          <w:szCs w:val="20"/>
          <w:lang w:eastAsia="ja-JP"/>
        </w:rPr>
        <w:t xml:space="preserve"> that</w:t>
      </w:r>
      <w:r>
        <w:rPr>
          <w:rFonts w:eastAsia="MS Mincho"/>
          <w:iCs/>
          <w:szCs w:val="20"/>
          <w:lang w:eastAsia="ja-JP"/>
        </w:rPr>
        <w:t xml:space="preserve"> the data </w:t>
      </w:r>
      <w:r w:rsidR="004F5E11">
        <w:rPr>
          <w:rFonts w:eastAsia="MS Mincho"/>
          <w:iCs/>
          <w:szCs w:val="20"/>
          <w:lang w:eastAsia="ja-JP"/>
        </w:rPr>
        <w:t>starting position can be informed by the UE-specific PDCCH.</w:t>
      </w:r>
    </w:p>
    <w:p w14:paraId="4CDF6B9B" w14:textId="6AA5E8F2" w:rsidR="004050B2" w:rsidRDefault="004050B2" w:rsidP="004050B2">
      <w:pPr>
        <w:pStyle w:val="af"/>
        <w:numPr>
          <w:ilvl w:val="0"/>
          <w:numId w:val="42"/>
        </w:numPr>
        <w:ind w:firstLineChars="0"/>
        <w:rPr>
          <w:lang w:eastAsia="zh-CN"/>
        </w:rPr>
      </w:pPr>
      <w:r>
        <w:rPr>
          <w:lang w:eastAsia="zh-CN"/>
        </w:rPr>
        <w:t>End of the control resource set</w:t>
      </w:r>
    </w:p>
    <w:p w14:paraId="706B0B91" w14:textId="6DA45882" w:rsidR="000F27B8" w:rsidRDefault="000F27B8" w:rsidP="000F27B8">
      <w:pPr>
        <w:pStyle w:val="af"/>
        <w:ind w:left="420" w:firstLineChars="0" w:firstLine="0"/>
        <w:rPr>
          <w:lang w:eastAsia="zh-CN"/>
        </w:rPr>
      </w:pPr>
      <w:r>
        <w:rPr>
          <w:lang w:eastAsia="zh-CN"/>
        </w:rPr>
        <w:t>In our understanding, the group common PDCCH should be received firstly at the UE side if it is transmitted in one slot, thus it is nature the group common PDCCH is mapped fr</w:t>
      </w:r>
      <w:r w:rsidR="001205C5">
        <w:rPr>
          <w:lang w:eastAsia="zh-CN"/>
        </w:rPr>
        <w:t>om the first OFDM symbol. I</w:t>
      </w:r>
      <w:r>
        <w:rPr>
          <w:lang w:eastAsia="zh-CN"/>
        </w:rPr>
        <w:t>t is unnecessary to include the information of the end of control resource set in the group common PDCCH</w:t>
      </w:r>
    </w:p>
    <w:p w14:paraId="3B5BD631" w14:textId="50A3CD3A" w:rsidR="000953E8" w:rsidRPr="003628BA" w:rsidRDefault="000953E8" w:rsidP="000953E8">
      <w:pPr>
        <w:rPr>
          <w:b/>
          <w:i/>
          <w:lang w:eastAsia="zh-CN"/>
        </w:rPr>
      </w:pPr>
      <w:r w:rsidRPr="003628BA">
        <w:rPr>
          <w:rFonts w:hint="eastAsia"/>
          <w:b/>
          <w:i/>
          <w:lang w:eastAsia="zh-CN"/>
        </w:rPr>
        <w:t>Proposal 1: Data starting position is informed via UE-specific PDCCH</w:t>
      </w:r>
      <w:r w:rsidR="0030618E">
        <w:rPr>
          <w:b/>
          <w:i/>
          <w:lang w:eastAsia="zh-CN"/>
        </w:rPr>
        <w:t>.</w:t>
      </w:r>
    </w:p>
    <w:p w14:paraId="724399E6" w14:textId="77777777" w:rsidR="00932594" w:rsidRDefault="000953E8" w:rsidP="00932594">
      <w:pPr>
        <w:rPr>
          <w:b/>
          <w:i/>
          <w:lang w:eastAsia="zh-CN"/>
        </w:rPr>
      </w:pPr>
      <w:r w:rsidRPr="003628BA">
        <w:rPr>
          <w:b/>
          <w:i/>
          <w:lang w:eastAsia="zh-CN"/>
        </w:rPr>
        <w:t>Proposal 2: Study whether the control resource set duration is carried in the group common PDCCH after the search space design is confirmed.</w:t>
      </w:r>
    </w:p>
    <w:p w14:paraId="6FC75305" w14:textId="26740737" w:rsidR="006C77EA" w:rsidRPr="00932594" w:rsidRDefault="006C77EA" w:rsidP="00932594">
      <w:pPr>
        <w:rPr>
          <w:b/>
          <w:i/>
          <w:u w:val="single"/>
          <w:lang w:eastAsia="zh-CN"/>
        </w:rPr>
      </w:pPr>
      <w:r w:rsidRPr="00932594">
        <w:rPr>
          <w:rFonts w:hint="eastAsia"/>
          <w:b/>
          <w:u w:val="single"/>
          <w:lang w:eastAsia="zh-CN"/>
        </w:rPr>
        <w:t>Indication of slot format</w:t>
      </w:r>
    </w:p>
    <w:p w14:paraId="1F6BBB9F" w14:textId="0EAE6A62" w:rsidR="006C77EA" w:rsidRDefault="009620FF" w:rsidP="009620FF">
      <w:pPr>
        <w:rPr>
          <w:lang w:eastAsia="zh-CN"/>
        </w:rPr>
      </w:pPr>
      <w:r>
        <w:rPr>
          <w:lang w:eastAsia="zh-CN"/>
        </w:rPr>
        <w:t>I</w:t>
      </w:r>
      <w:r>
        <w:rPr>
          <w:rFonts w:hint="eastAsia"/>
          <w:lang w:eastAsia="zh-CN"/>
        </w:rPr>
        <w:t xml:space="preserve">t </w:t>
      </w:r>
      <w:r>
        <w:rPr>
          <w:lang w:eastAsia="zh-CN"/>
        </w:rPr>
        <w:t xml:space="preserve">is agreed that </w:t>
      </w:r>
      <w:r w:rsidR="008E1D82" w:rsidRPr="009620FF">
        <w:rPr>
          <w:lang w:eastAsia="zh-CN"/>
        </w:rPr>
        <w:t>NR supports at least semi-statically assigned DL/UL transmission direction as gNB operation</w:t>
      </w:r>
      <w:r>
        <w:rPr>
          <w:lang w:eastAsia="zh-CN"/>
        </w:rPr>
        <w:t xml:space="preserve"> [3]. </w:t>
      </w:r>
      <w:r w:rsidRPr="009620FF">
        <w:rPr>
          <w:lang w:eastAsia="zh-CN"/>
        </w:rPr>
        <w:t xml:space="preserve">The assigned DL/UL transmission direction can be signalled to UE by higher layer </w:t>
      </w:r>
      <w:r>
        <w:rPr>
          <w:lang w:eastAsia="zh-CN"/>
        </w:rPr>
        <w:t>signaling. A semi-static DL/UL transmission direction design is beneficial for the co-existence between NR and LTE system</w:t>
      </w:r>
      <w:r w:rsidR="000F4727">
        <w:rPr>
          <w:lang w:eastAsia="zh-CN"/>
        </w:rPr>
        <w:t>s</w:t>
      </w:r>
      <w:r>
        <w:rPr>
          <w:lang w:eastAsia="zh-CN"/>
        </w:rPr>
        <w:t xml:space="preserve">. However, the scheduling flexibility is limited and thus might leads to the degradation of the system performance. </w:t>
      </w:r>
      <w:r w:rsidR="00FD6774">
        <w:rPr>
          <w:lang w:eastAsia="zh-CN"/>
        </w:rPr>
        <w:t>I</w:t>
      </w:r>
      <w:r>
        <w:rPr>
          <w:lang w:eastAsia="zh-CN"/>
        </w:rPr>
        <w:t>n this sense, a dynamic signaling</w:t>
      </w:r>
      <w:r w:rsidR="00FD6774">
        <w:rPr>
          <w:lang w:eastAsia="zh-CN"/>
        </w:rPr>
        <w:t xml:space="preserve"> such as the group common PDCCH</w:t>
      </w:r>
      <w:r>
        <w:rPr>
          <w:lang w:eastAsia="zh-CN"/>
        </w:rPr>
        <w:t xml:space="preserve"> that could change the transmission direction can be considered to allow a more flexible design. </w:t>
      </w:r>
    </w:p>
    <w:p w14:paraId="3EA95EC6" w14:textId="25094918" w:rsidR="001524B9" w:rsidRDefault="001524B9" w:rsidP="009620FF">
      <w:pPr>
        <w:rPr>
          <w:lang w:eastAsia="zh-CN"/>
        </w:rPr>
      </w:pPr>
      <w:r>
        <w:rPr>
          <w:lang w:eastAsia="zh-CN"/>
        </w:rPr>
        <w:t>It is still under discussion whether a group common PDCCH can indicate the slot format</w:t>
      </w:r>
      <w:r w:rsidR="000F4727">
        <w:rPr>
          <w:lang w:eastAsia="zh-CN"/>
        </w:rPr>
        <w:t>s</w:t>
      </w:r>
      <w:r>
        <w:rPr>
          <w:lang w:eastAsia="zh-CN"/>
        </w:rPr>
        <w:t xml:space="preserve"> for multiple slots. Obviously, if a PDCCH is allowed to indicate the slot formats for multiple slots, the signaling overhead can be reduced and UE blind decoding effort can be saved. As it is agreed that UE should be able to derive the </w:t>
      </w:r>
      <w:r w:rsidR="00B043E9">
        <w:rPr>
          <w:lang w:eastAsia="zh-CN"/>
        </w:rPr>
        <w:t xml:space="preserve">transmission directions for each symbols in a slot, the payload of the content for a group common PDCCH is scaled with the number of indicated slots. UE should be able to know which </w:t>
      </w:r>
      <w:r w:rsidR="0030618E">
        <w:rPr>
          <w:lang w:eastAsia="zh-CN"/>
        </w:rPr>
        <w:t>slots</w:t>
      </w:r>
      <w:r w:rsidR="00B043E9">
        <w:rPr>
          <w:lang w:eastAsia="zh-CN"/>
        </w:rPr>
        <w:t xml:space="preserve"> are indicated, this can be achieved via high layer configuration or some predefined rules.</w:t>
      </w:r>
    </w:p>
    <w:p w14:paraId="36C2F49E" w14:textId="77777777" w:rsidR="003628BA" w:rsidRDefault="003628BA" w:rsidP="009620FF">
      <w:pPr>
        <w:rPr>
          <w:lang w:eastAsia="zh-CN"/>
        </w:rPr>
      </w:pPr>
    </w:p>
    <w:p w14:paraId="22C40F28" w14:textId="3C1CA22B" w:rsidR="00932594" w:rsidRDefault="001966DB" w:rsidP="00932594">
      <w:pPr>
        <w:rPr>
          <w:b/>
          <w:i/>
          <w:lang w:eastAsia="zh-CN"/>
        </w:rPr>
      </w:pPr>
      <w:r w:rsidRPr="003628BA">
        <w:rPr>
          <w:b/>
          <w:i/>
          <w:lang w:eastAsia="zh-CN"/>
        </w:rPr>
        <w:lastRenderedPageBreak/>
        <w:t xml:space="preserve">Proposal 3: If indication of slot formats for multiples slots in a group common PDCCH is supported, high layer signaling or predefined rule is needed to ensure UEs understand the </w:t>
      </w:r>
      <w:r w:rsidR="00D00EC9">
        <w:rPr>
          <w:b/>
          <w:i/>
          <w:lang w:eastAsia="zh-CN"/>
        </w:rPr>
        <w:t>slots</w:t>
      </w:r>
      <w:r w:rsidRPr="003628BA">
        <w:rPr>
          <w:b/>
          <w:i/>
          <w:lang w:eastAsia="zh-CN"/>
        </w:rPr>
        <w:t xml:space="preserve"> that are indicated.</w:t>
      </w:r>
    </w:p>
    <w:p w14:paraId="14BA2CE0" w14:textId="56864646" w:rsidR="006C77EA" w:rsidRPr="00932594" w:rsidRDefault="006C77EA" w:rsidP="00932594">
      <w:pPr>
        <w:rPr>
          <w:b/>
          <w:i/>
          <w:u w:val="single"/>
          <w:lang w:eastAsia="zh-CN"/>
        </w:rPr>
      </w:pPr>
      <w:r w:rsidRPr="00932594">
        <w:rPr>
          <w:b/>
          <w:u w:val="single"/>
          <w:lang w:eastAsia="zh-CN"/>
        </w:rPr>
        <w:t>T</w:t>
      </w:r>
      <w:r w:rsidRPr="00932594">
        <w:rPr>
          <w:rFonts w:hint="eastAsia"/>
          <w:b/>
          <w:u w:val="single"/>
          <w:lang w:eastAsia="zh-CN"/>
        </w:rPr>
        <w:t xml:space="preserve">ransmission </w:t>
      </w:r>
      <w:r w:rsidRPr="00932594">
        <w:rPr>
          <w:b/>
          <w:u w:val="single"/>
          <w:lang w:eastAsia="zh-CN"/>
        </w:rPr>
        <w:t>of group common PDCCH</w:t>
      </w:r>
    </w:p>
    <w:p w14:paraId="123453CE" w14:textId="7C3B0478" w:rsidR="00073C4B" w:rsidRDefault="008A01FE" w:rsidP="005D6354">
      <w:pPr>
        <w:pBdr>
          <w:bottom w:val="single" w:sz="12" w:space="1" w:color="auto"/>
        </w:pBdr>
        <w:rPr>
          <w:color w:val="000000"/>
          <w:lang w:eastAsia="zh-CN"/>
        </w:rPr>
      </w:pPr>
      <w:r>
        <w:rPr>
          <w:color w:val="000000"/>
          <w:lang w:eastAsia="zh-CN"/>
        </w:rPr>
        <w:t>B</w:t>
      </w:r>
      <w:r>
        <w:rPr>
          <w:rFonts w:hint="eastAsia"/>
          <w:color w:val="000000"/>
          <w:lang w:eastAsia="zh-CN"/>
        </w:rPr>
        <w:t xml:space="preserve">asically </w:t>
      </w:r>
      <w:r>
        <w:rPr>
          <w:color w:val="000000"/>
          <w:lang w:eastAsia="zh-CN"/>
        </w:rPr>
        <w:t xml:space="preserve">two schemes have been proposed for the transmission of group common PDCCH. One scheme is to transmit the group common PDCCH in a separately designed channel, e.g, PCFICH-like manner. </w:t>
      </w:r>
      <w:r w:rsidR="00F809CE">
        <w:rPr>
          <w:color w:val="000000"/>
          <w:lang w:eastAsia="zh-CN"/>
        </w:rPr>
        <w:t>The</w:t>
      </w:r>
      <w:r w:rsidR="001C7D2B">
        <w:rPr>
          <w:color w:val="000000"/>
          <w:lang w:eastAsia="zh-CN"/>
        </w:rPr>
        <w:t xml:space="preserve"> resource carrying the group common PDCCH is predefined and linked to the group ID. </w:t>
      </w:r>
      <w:r>
        <w:rPr>
          <w:color w:val="000000"/>
          <w:lang w:eastAsia="zh-CN"/>
        </w:rPr>
        <w:t xml:space="preserve">The other one scheme is to transmit the group common PDCCH </w:t>
      </w:r>
      <w:r w:rsidR="001C7D2B">
        <w:rPr>
          <w:color w:val="000000"/>
          <w:lang w:eastAsia="zh-CN"/>
        </w:rPr>
        <w:t>in the NR-PDCCH. In our understanding, transmitting the group common PDCCH in a PCFICH-like manner will complicate the design of the PDCCH search space. Furthermore, a separately designed channel will require more standard work.</w:t>
      </w:r>
      <w:r w:rsidR="00073C4B">
        <w:rPr>
          <w:color w:val="000000"/>
          <w:lang w:eastAsia="zh-CN"/>
        </w:rPr>
        <w:t xml:space="preserve"> Thus, it is suggested that the group common PDCCH is transmitted in the NR-PDCCH. Meanwhile, </w:t>
      </w:r>
      <w:r w:rsidR="00D0454B">
        <w:rPr>
          <w:color w:val="000000"/>
          <w:lang w:eastAsia="zh-CN"/>
        </w:rPr>
        <w:t>it is preferred to share the common search space for group common PDCCH and other common PDCCHs. The CORSET</w:t>
      </w:r>
      <w:r w:rsidR="00B74663">
        <w:rPr>
          <w:color w:val="000000"/>
          <w:lang w:eastAsia="zh-CN"/>
        </w:rPr>
        <w:t xml:space="preserve"> configuration</w:t>
      </w:r>
      <w:bookmarkStart w:id="0" w:name="_GoBack"/>
      <w:bookmarkEnd w:id="0"/>
      <w:r w:rsidR="00D0454B">
        <w:rPr>
          <w:color w:val="000000"/>
          <w:lang w:eastAsia="zh-CN"/>
        </w:rPr>
        <w:t xml:space="preserve"> for the common search space can be predefined or informed to the UEs, e.g, via system information.</w:t>
      </w:r>
    </w:p>
    <w:p w14:paraId="488212BC" w14:textId="12EB3223" w:rsidR="00073C4B" w:rsidRDefault="00073C4B" w:rsidP="005D6354">
      <w:pPr>
        <w:pBdr>
          <w:bottom w:val="single" w:sz="12" w:space="1" w:color="auto"/>
        </w:pBdr>
        <w:rPr>
          <w:color w:val="000000"/>
          <w:lang w:eastAsia="zh-CN"/>
        </w:rPr>
      </w:pPr>
      <w:r>
        <w:rPr>
          <w:color w:val="000000"/>
          <w:lang w:eastAsia="zh-CN"/>
        </w:rPr>
        <w:t xml:space="preserve">It </w:t>
      </w:r>
      <w:r w:rsidR="002738A9">
        <w:rPr>
          <w:color w:val="000000"/>
          <w:lang w:eastAsia="zh-CN"/>
        </w:rPr>
        <w:t>is still not clear whether</w:t>
      </w:r>
      <w:r>
        <w:rPr>
          <w:color w:val="000000"/>
          <w:lang w:eastAsia="zh-CN"/>
        </w:rPr>
        <w:t xml:space="preserve"> UE could be able to operate in more than one group.</w:t>
      </w:r>
      <w:r w:rsidR="002738A9">
        <w:rPr>
          <w:color w:val="000000"/>
          <w:lang w:eastAsia="zh-CN"/>
        </w:rPr>
        <w:t xml:space="preserve"> UE need</w:t>
      </w:r>
      <w:r w:rsidR="000F4727">
        <w:rPr>
          <w:color w:val="000000"/>
          <w:lang w:eastAsia="zh-CN"/>
        </w:rPr>
        <w:t>s</w:t>
      </w:r>
      <w:r w:rsidR="002738A9">
        <w:rPr>
          <w:color w:val="000000"/>
          <w:lang w:eastAsia="zh-CN"/>
        </w:rPr>
        <w:t xml:space="preserve"> to distinguish different group common PDCCHs if this is supported.</w:t>
      </w:r>
      <w:r>
        <w:rPr>
          <w:color w:val="000000"/>
          <w:lang w:eastAsia="zh-CN"/>
        </w:rPr>
        <w:t xml:space="preserve"> </w:t>
      </w:r>
      <w:r w:rsidR="002738A9">
        <w:rPr>
          <w:color w:val="000000"/>
          <w:lang w:eastAsia="zh-CN"/>
        </w:rPr>
        <w:t>It can be achieved by defining multiple</w:t>
      </w:r>
      <w:r w:rsidR="000F4727">
        <w:rPr>
          <w:color w:val="000000"/>
          <w:lang w:eastAsia="zh-CN"/>
        </w:rPr>
        <w:t xml:space="preserve"> group common RNTIs or indicating</w:t>
      </w:r>
      <w:r w:rsidR="002738A9">
        <w:rPr>
          <w:color w:val="000000"/>
          <w:lang w:eastAsia="zh-CN"/>
        </w:rPr>
        <w:t xml:space="preserve"> in an implicit way.</w:t>
      </w:r>
      <w:r>
        <w:rPr>
          <w:color w:val="000000"/>
          <w:lang w:eastAsia="zh-CN"/>
        </w:rPr>
        <w:t xml:space="preserve"> </w:t>
      </w:r>
    </w:p>
    <w:p w14:paraId="5A8C8C7F" w14:textId="77777777" w:rsidR="003628BA" w:rsidRDefault="003628BA" w:rsidP="005D6354">
      <w:pPr>
        <w:pBdr>
          <w:bottom w:val="single" w:sz="12" w:space="1" w:color="auto"/>
        </w:pBdr>
        <w:rPr>
          <w:color w:val="000000"/>
          <w:lang w:eastAsia="zh-CN"/>
        </w:rPr>
      </w:pPr>
    </w:p>
    <w:p w14:paraId="52A59269" w14:textId="1E2CC65F" w:rsidR="001966DB" w:rsidRPr="003628BA" w:rsidRDefault="001966DB" w:rsidP="005D6354">
      <w:pPr>
        <w:pBdr>
          <w:bottom w:val="single" w:sz="12" w:space="1" w:color="auto"/>
        </w:pBdr>
        <w:rPr>
          <w:b/>
          <w:i/>
          <w:color w:val="000000"/>
          <w:lang w:eastAsia="zh-CN"/>
        </w:rPr>
      </w:pPr>
      <w:r w:rsidRPr="003628BA">
        <w:rPr>
          <w:rFonts w:hint="eastAsia"/>
          <w:b/>
          <w:i/>
          <w:color w:val="000000"/>
          <w:lang w:eastAsia="zh-CN"/>
        </w:rPr>
        <w:t xml:space="preserve">Proposal 4: </w:t>
      </w:r>
      <w:r w:rsidR="003628BA" w:rsidRPr="003628BA">
        <w:rPr>
          <w:b/>
          <w:i/>
          <w:color w:val="000000"/>
          <w:lang w:eastAsia="zh-CN"/>
        </w:rPr>
        <w:t>The group common PDCCH is transmitted in the NR-PDCCH</w:t>
      </w:r>
    </w:p>
    <w:p w14:paraId="3362384D" w14:textId="77777777" w:rsidR="00F74CF4" w:rsidRPr="00086E01" w:rsidRDefault="00F74CF4" w:rsidP="005D6354">
      <w:pPr>
        <w:pBdr>
          <w:bottom w:val="single" w:sz="12" w:space="1" w:color="auto"/>
        </w:pBdr>
        <w:rPr>
          <w:color w:val="000000"/>
          <w:lang w:eastAsia="zh-CN"/>
        </w:rPr>
      </w:pPr>
    </w:p>
    <w:p w14:paraId="1641D776" w14:textId="77777777" w:rsidR="005D6354" w:rsidRDefault="005D6354" w:rsidP="005D6354">
      <w:pPr>
        <w:pStyle w:val="1"/>
        <w:rPr>
          <w:kern w:val="2"/>
          <w:lang w:eastAsia="zh-CN"/>
        </w:rPr>
      </w:pPr>
      <w:r>
        <w:rPr>
          <w:kern w:val="2"/>
          <w:lang w:eastAsia="zh-CN"/>
        </w:rPr>
        <w:t>Conclusions</w:t>
      </w:r>
    </w:p>
    <w:p w14:paraId="76F37E50" w14:textId="11FCF3C5" w:rsidR="005D6354" w:rsidRDefault="005D6354" w:rsidP="005D6354">
      <w:pPr>
        <w:rPr>
          <w:szCs w:val="24"/>
          <w:lang w:eastAsia="zh-CN"/>
        </w:rPr>
      </w:pPr>
      <w:r>
        <w:rPr>
          <w:szCs w:val="24"/>
          <w:lang w:eastAsia="zh-CN"/>
        </w:rPr>
        <w:t>I</w:t>
      </w:r>
      <w:r>
        <w:rPr>
          <w:rFonts w:hint="eastAsia"/>
          <w:szCs w:val="24"/>
          <w:lang w:eastAsia="zh-CN"/>
        </w:rPr>
        <w:t xml:space="preserve">n </w:t>
      </w:r>
      <w:r>
        <w:rPr>
          <w:szCs w:val="24"/>
          <w:lang w:eastAsia="zh-CN"/>
        </w:rPr>
        <w:t xml:space="preserve">this contribution, we present the discussion on </w:t>
      </w:r>
      <w:r w:rsidR="00493141">
        <w:rPr>
          <w:rFonts w:eastAsia="MS Mincho"/>
        </w:rPr>
        <w:t>design aspects of the group common PDCCH</w:t>
      </w:r>
      <w:r>
        <w:rPr>
          <w:szCs w:val="24"/>
          <w:lang w:eastAsia="zh-CN"/>
        </w:rPr>
        <w:t>. Based on our analysis, we have the following proposals:</w:t>
      </w:r>
    </w:p>
    <w:p w14:paraId="110C4C4F" w14:textId="77777777" w:rsidR="003628BA" w:rsidRPr="003628BA" w:rsidRDefault="003628BA" w:rsidP="003628BA">
      <w:pPr>
        <w:rPr>
          <w:b/>
          <w:i/>
          <w:lang w:eastAsia="zh-CN"/>
        </w:rPr>
      </w:pPr>
      <w:r w:rsidRPr="003628BA">
        <w:rPr>
          <w:rFonts w:hint="eastAsia"/>
          <w:b/>
          <w:i/>
          <w:lang w:eastAsia="zh-CN"/>
        </w:rPr>
        <w:t>Proposal 1: Data starting position is informed via UE-specific PDCCH</w:t>
      </w:r>
    </w:p>
    <w:p w14:paraId="1FD83277" w14:textId="77777777" w:rsidR="003628BA" w:rsidRDefault="003628BA" w:rsidP="003628BA">
      <w:pPr>
        <w:rPr>
          <w:b/>
          <w:i/>
          <w:lang w:eastAsia="zh-CN"/>
        </w:rPr>
      </w:pPr>
      <w:r w:rsidRPr="003628BA">
        <w:rPr>
          <w:b/>
          <w:i/>
          <w:lang w:eastAsia="zh-CN"/>
        </w:rPr>
        <w:t>Proposal 2: Study whether the control resource set duration is carried in the group common PDCCH after the search space design is confirmed.</w:t>
      </w:r>
    </w:p>
    <w:p w14:paraId="033383BD" w14:textId="668B835B" w:rsidR="003628BA" w:rsidRDefault="003628BA" w:rsidP="003628BA">
      <w:pPr>
        <w:rPr>
          <w:b/>
          <w:i/>
          <w:lang w:eastAsia="zh-CN"/>
        </w:rPr>
      </w:pPr>
      <w:r w:rsidRPr="003628BA">
        <w:rPr>
          <w:b/>
          <w:i/>
          <w:lang w:eastAsia="zh-CN"/>
        </w:rPr>
        <w:t xml:space="preserve">Proposal 3: If indication of slot formats for multiples slots in a group common PDCCH is supported, high layer signaling or predefined rule is needed to ensure UEs understand the </w:t>
      </w:r>
      <w:r w:rsidR="0095428B">
        <w:rPr>
          <w:b/>
          <w:i/>
          <w:lang w:eastAsia="zh-CN"/>
        </w:rPr>
        <w:t>slots</w:t>
      </w:r>
      <w:r w:rsidRPr="003628BA">
        <w:rPr>
          <w:b/>
          <w:i/>
          <w:lang w:eastAsia="zh-CN"/>
        </w:rPr>
        <w:t xml:space="preserve"> that are indicated.</w:t>
      </w:r>
    </w:p>
    <w:p w14:paraId="195FD7F3" w14:textId="72C78AC3" w:rsidR="008F14A9" w:rsidRPr="008F14A9" w:rsidRDefault="003628BA" w:rsidP="008F14A9">
      <w:pPr>
        <w:pBdr>
          <w:bottom w:val="single" w:sz="12" w:space="1" w:color="auto"/>
        </w:pBdr>
        <w:rPr>
          <w:b/>
          <w:i/>
          <w:color w:val="000000"/>
          <w:lang w:eastAsia="zh-CN"/>
        </w:rPr>
      </w:pPr>
      <w:r w:rsidRPr="003628BA">
        <w:rPr>
          <w:rFonts w:hint="eastAsia"/>
          <w:b/>
          <w:i/>
          <w:color w:val="000000"/>
          <w:lang w:eastAsia="zh-CN"/>
        </w:rPr>
        <w:t xml:space="preserve">Proposal 4: </w:t>
      </w:r>
      <w:r w:rsidRPr="003628BA">
        <w:rPr>
          <w:b/>
          <w:i/>
          <w:color w:val="000000"/>
          <w:lang w:eastAsia="zh-CN"/>
        </w:rPr>
        <w:t>The group common PDCCH is transmitted in the NR-PDCCH</w:t>
      </w:r>
    </w:p>
    <w:p w14:paraId="1000451A" w14:textId="77777777" w:rsidR="005D6354" w:rsidRDefault="005D6354" w:rsidP="005D6354">
      <w:pPr>
        <w:pStyle w:val="1"/>
      </w:pPr>
      <w:r>
        <w:t>References</w:t>
      </w:r>
    </w:p>
    <w:p w14:paraId="7567BF7F" w14:textId="77777777" w:rsidR="005D6354" w:rsidRDefault="005D6354" w:rsidP="005D6354">
      <w:pPr>
        <w:widowControl w:val="0"/>
        <w:numPr>
          <w:ilvl w:val="0"/>
          <w:numId w:val="21"/>
        </w:numPr>
        <w:autoSpaceDE/>
        <w:autoSpaceDN/>
        <w:adjustRightInd/>
        <w:snapToGrid/>
      </w:pPr>
      <w:r>
        <w:rPr>
          <w:lang w:eastAsia="zh-CN"/>
        </w:rPr>
        <w:t xml:space="preserve">Chariman’s Notes RAN1_NRadhoc_final  </w:t>
      </w:r>
    </w:p>
    <w:p w14:paraId="23A732FF" w14:textId="77777777" w:rsidR="008F14A9" w:rsidRDefault="008F14A9" w:rsidP="005D6354">
      <w:pPr>
        <w:widowControl w:val="0"/>
        <w:numPr>
          <w:ilvl w:val="0"/>
          <w:numId w:val="21"/>
        </w:numPr>
        <w:autoSpaceDE/>
        <w:autoSpaceDN/>
        <w:adjustRightInd/>
        <w:snapToGrid/>
      </w:pPr>
      <w:r>
        <w:t>3GPP RAN1 88bis chairmannote</w:t>
      </w:r>
    </w:p>
    <w:p w14:paraId="540CA5D3" w14:textId="179FF225" w:rsidR="008F14A9" w:rsidRDefault="008F14A9" w:rsidP="008F14A9">
      <w:pPr>
        <w:widowControl w:val="0"/>
        <w:numPr>
          <w:ilvl w:val="0"/>
          <w:numId w:val="21"/>
        </w:numPr>
        <w:autoSpaceDE/>
        <w:autoSpaceDN/>
        <w:adjustRightInd/>
        <w:snapToGrid/>
      </w:pPr>
      <w:r>
        <w:t>3GPP RAN1 86 chairmannote</w:t>
      </w:r>
    </w:p>
    <w:p w14:paraId="3066E4D4" w14:textId="6C8E6E20" w:rsidR="00200AE6" w:rsidRPr="005D6354" w:rsidRDefault="00200AE6" w:rsidP="005D6354"/>
    <w:sectPr w:rsidR="00200AE6" w:rsidRPr="005D63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E3ED3" w14:textId="77777777" w:rsidR="006934A7" w:rsidRDefault="006934A7">
      <w:r>
        <w:separator/>
      </w:r>
    </w:p>
  </w:endnote>
  <w:endnote w:type="continuationSeparator" w:id="0">
    <w:p w14:paraId="58F2D934" w14:textId="77777777" w:rsidR="006934A7" w:rsidRDefault="00693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368F0" w14:textId="77777777" w:rsidR="006934A7" w:rsidRDefault="006934A7">
      <w:r>
        <w:separator/>
      </w:r>
    </w:p>
  </w:footnote>
  <w:footnote w:type="continuationSeparator" w:id="0">
    <w:p w14:paraId="74D468CF" w14:textId="77777777" w:rsidR="006934A7" w:rsidRDefault="006934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E2DA4"/>
    <w:multiLevelType w:val="hybridMultilevel"/>
    <w:tmpl w:val="CB6A14B4"/>
    <w:lvl w:ilvl="0" w:tplc="5826246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2">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3">
    <w:nsid w:val="0B9511BA"/>
    <w:multiLevelType w:val="hybridMultilevel"/>
    <w:tmpl w:val="4AC253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0C49C0"/>
    <w:multiLevelType w:val="hybridMultilevel"/>
    <w:tmpl w:val="B90C7C22"/>
    <w:lvl w:ilvl="0" w:tplc="41AA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160BAC"/>
    <w:multiLevelType w:val="hybridMultilevel"/>
    <w:tmpl w:val="28AE24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21B369C"/>
    <w:multiLevelType w:val="hybridMultilevel"/>
    <w:tmpl w:val="E99E1172"/>
    <w:lvl w:ilvl="0" w:tplc="B36CE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1801D9"/>
    <w:multiLevelType w:val="hybridMultilevel"/>
    <w:tmpl w:val="1B72620C"/>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6">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7">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D838EC"/>
    <w:multiLevelType w:val="hybridMultilevel"/>
    <w:tmpl w:val="FAC04B50"/>
    <w:lvl w:ilvl="0" w:tplc="ACD60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561E50"/>
    <w:multiLevelType w:val="hybridMultilevel"/>
    <w:tmpl w:val="5AE2E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FD03FD"/>
    <w:multiLevelType w:val="hybridMultilevel"/>
    <w:tmpl w:val="6A747E80"/>
    <w:lvl w:ilvl="0" w:tplc="508EDF16">
      <w:start w:val="1"/>
      <w:numFmt w:val="bullet"/>
      <w:lvlText w:val="•"/>
      <w:lvlJc w:val="left"/>
      <w:pPr>
        <w:tabs>
          <w:tab w:val="num" w:pos="720"/>
        </w:tabs>
        <w:ind w:left="720" w:hanging="360"/>
      </w:pPr>
      <w:rPr>
        <w:rFonts w:ascii="Arial" w:hAnsi="Arial" w:hint="default"/>
      </w:rPr>
    </w:lvl>
    <w:lvl w:ilvl="1" w:tplc="F9CE0414" w:tentative="1">
      <w:start w:val="1"/>
      <w:numFmt w:val="bullet"/>
      <w:lvlText w:val="•"/>
      <w:lvlJc w:val="left"/>
      <w:pPr>
        <w:tabs>
          <w:tab w:val="num" w:pos="1440"/>
        </w:tabs>
        <w:ind w:left="1440" w:hanging="360"/>
      </w:pPr>
      <w:rPr>
        <w:rFonts w:ascii="Arial" w:hAnsi="Arial" w:hint="default"/>
      </w:rPr>
    </w:lvl>
    <w:lvl w:ilvl="2" w:tplc="D71A798E" w:tentative="1">
      <w:start w:val="1"/>
      <w:numFmt w:val="bullet"/>
      <w:lvlText w:val="•"/>
      <w:lvlJc w:val="left"/>
      <w:pPr>
        <w:tabs>
          <w:tab w:val="num" w:pos="2160"/>
        </w:tabs>
        <w:ind w:left="2160" w:hanging="360"/>
      </w:pPr>
      <w:rPr>
        <w:rFonts w:ascii="Arial" w:hAnsi="Arial" w:hint="default"/>
      </w:rPr>
    </w:lvl>
    <w:lvl w:ilvl="3" w:tplc="C94879B8" w:tentative="1">
      <w:start w:val="1"/>
      <w:numFmt w:val="bullet"/>
      <w:lvlText w:val="•"/>
      <w:lvlJc w:val="left"/>
      <w:pPr>
        <w:tabs>
          <w:tab w:val="num" w:pos="2880"/>
        </w:tabs>
        <w:ind w:left="2880" w:hanging="360"/>
      </w:pPr>
      <w:rPr>
        <w:rFonts w:ascii="Arial" w:hAnsi="Arial" w:hint="default"/>
      </w:rPr>
    </w:lvl>
    <w:lvl w:ilvl="4" w:tplc="228249BA" w:tentative="1">
      <w:start w:val="1"/>
      <w:numFmt w:val="bullet"/>
      <w:lvlText w:val="•"/>
      <w:lvlJc w:val="left"/>
      <w:pPr>
        <w:tabs>
          <w:tab w:val="num" w:pos="3600"/>
        </w:tabs>
        <w:ind w:left="3600" w:hanging="360"/>
      </w:pPr>
      <w:rPr>
        <w:rFonts w:ascii="Arial" w:hAnsi="Arial" w:hint="default"/>
      </w:rPr>
    </w:lvl>
    <w:lvl w:ilvl="5" w:tplc="F6862720" w:tentative="1">
      <w:start w:val="1"/>
      <w:numFmt w:val="bullet"/>
      <w:lvlText w:val="•"/>
      <w:lvlJc w:val="left"/>
      <w:pPr>
        <w:tabs>
          <w:tab w:val="num" w:pos="4320"/>
        </w:tabs>
        <w:ind w:left="4320" w:hanging="360"/>
      </w:pPr>
      <w:rPr>
        <w:rFonts w:ascii="Arial" w:hAnsi="Arial" w:hint="default"/>
      </w:rPr>
    </w:lvl>
    <w:lvl w:ilvl="6" w:tplc="78F6D008" w:tentative="1">
      <w:start w:val="1"/>
      <w:numFmt w:val="bullet"/>
      <w:lvlText w:val="•"/>
      <w:lvlJc w:val="left"/>
      <w:pPr>
        <w:tabs>
          <w:tab w:val="num" w:pos="5040"/>
        </w:tabs>
        <w:ind w:left="5040" w:hanging="360"/>
      </w:pPr>
      <w:rPr>
        <w:rFonts w:ascii="Arial" w:hAnsi="Arial" w:hint="default"/>
      </w:rPr>
    </w:lvl>
    <w:lvl w:ilvl="7" w:tplc="47E0A9EA" w:tentative="1">
      <w:start w:val="1"/>
      <w:numFmt w:val="bullet"/>
      <w:lvlText w:val="•"/>
      <w:lvlJc w:val="left"/>
      <w:pPr>
        <w:tabs>
          <w:tab w:val="num" w:pos="5760"/>
        </w:tabs>
        <w:ind w:left="5760" w:hanging="360"/>
      </w:pPr>
      <w:rPr>
        <w:rFonts w:ascii="Arial" w:hAnsi="Arial" w:hint="default"/>
      </w:rPr>
    </w:lvl>
    <w:lvl w:ilvl="8" w:tplc="187E217A" w:tentative="1">
      <w:start w:val="1"/>
      <w:numFmt w:val="bullet"/>
      <w:lvlText w:val="•"/>
      <w:lvlJc w:val="left"/>
      <w:pPr>
        <w:tabs>
          <w:tab w:val="num" w:pos="6480"/>
        </w:tabs>
        <w:ind w:left="6480" w:hanging="360"/>
      </w:pPr>
      <w:rPr>
        <w:rFonts w:ascii="Arial" w:hAnsi="Arial"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4">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5D1C6B"/>
    <w:multiLevelType w:val="hybridMultilevel"/>
    <w:tmpl w:val="5016BA88"/>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ACE20156">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26">
    <w:nsid w:val="51F84DF1"/>
    <w:multiLevelType w:val="hybridMultilevel"/>
    <w:tmpl w:val="AEE4CEBC"/>
    <w:lvl w:ilvl="0" w:tplc="648249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5863140F"/>
    <w:multiLevelType w:val="hybridMultilevel"/>
    <w:tmpl w:val="7E32BF98"/>
    <w:lvl w:ilvl="0" w:tplc="CF68586C">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1">
    <w:nsid w:val="60074136"/>
    <w:multiLevelType w:val="hybridMultilevel"/>
    <w:tmpl w:val="FE6896A4"/>
    <w:lvl w:ilvl="0" w:tplc="A14AFD5E">
      <w:start w:val="1"/>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2">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BA2D16"/>
    <w:multiLevelType w:val="hybridMultilevel"/>
    <w:tmpl w:val="B1883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012F54"/>
    <w:multiLevelType w:val="hybridMultilevel"/>
    <w:tmpl w:val="B10E010A"/>
    <w:lvl w:ilvl="0" w:tplc="135ADB08">
      <w:start w:val="1"/>
      <w:numFmt w:val="bullet"/>
      <w:lvlText w:val="–"/>
      <w:lvlJc w:val="left"/>
      <w:pPr>
        <w:tabs>
          <w:tab w:val="num" w:pos="720"/>
        </w:tabs>
        <w:ind w:left="720" w:hanging="360"/>
      </w:pPr>
      <w:rPr>
        <w:rFonts w:ascii="Arial" w:hAnsi="Arial" w:hint="default"/>
      </w:rPr>
    </w:lvl>
    <w:lvl w:ilvl="1" w:tplc="47EC928C">
      <w:start w:val="1"/>
      <w:numFmt w:val="bullet"/>
      <w:lvlText w:val="–"/>
      <w:lvlJc w:val="left"/>
      <w:pPr>
        <w:tabs>
          <w:tab w:val="num" w:pos="1440"/>
        </w:tabs>
        <w:ind w:left="1440" w:hanging="360"/>
      </w:pPr>
      <w:rPr>
        <w:rFonts w:ascii="Arial" w:hAnsi="Arial" w:hint="default"/>
      </w:rPr>
    </w:lvl>
    <w:lvl w:ilvl="2" w:tplc="B25AD4C8" w:tentative="1">
      <w:start w:val="1"/>
      <w:numFmt w:val="bullet"/>
      <w:lvlText w:val="–"/>
      <w:lvlJc w:val="left"/>
      <w:pPr>
        <w:tabs>
          <w:tab w:val="num" w:pos="2160"/>
        </w:tabs>
        <w:ind w:left="2160" w:hanging="360"/>
      </w:pPr>
      <w:rPr>
        <w:rFonts w:ascii="Arial" w:hAnsi="Arial" w:hint="default"/>
      </w:rPr>
    </w:lvl>
    <w:lvl w:ilvl="3" w:tplc="76227A04" w:tentative="1">
      <w:start w:val="1"/>
      <w:numFmt w:val="bullet"/>
      <w:lvlText w:val="–"/>
      <w:lvlJc w:val="left"/>
      <w:pPr>
        <w:tabs>
          <w:tab w:val="num" w:pos="2880"/>
        </w:tabs>
        <w:ind w:left="2880" w:hanging="360"/>
      </w:pPr>
      <w:rPr>
        <w:rFonts w:ascii="Arial" w:hAnsi="Arial" w:hint="default"/>
      </w:rPr>
    </w:lvl>
    <w:lvl w:ilvl="4" w:tplc="822A1BDE" w:tentative="1">
      <w:start w:val="1"/>
      <w:numFmt w:val="bullet"/>
      <w:lvlText w:val="–"/>
      <w:lvlJc w:val="left"/>
      <w:pPr>
        <w:tabs>
          <w:tab w:val="num" w:pos="3600"/>
        </w:tabs>
        <w:ind w:left="3600" w:hanging="360"/>
      </w:pPr>
      <w:rPr>
        <w:rFonts w:ascii="Arial" w:hAnsi="Arial" w:hint="default"/>
      </w:rPr>
    </w:lvl>
    <w:lvl w:ilvl="5" w:tplc="8F762A66" w:tentative="1">
      <w:start w:val="1"/>
      <w:numFmt w:val="bullet"/>
      <w:lvlText w:val="–"/>
      <w:lvlJc w:val="left"/>
      <w:pPr>
        <w:tabs>
          <w:tab w:val="num" w:pos="4320"/>
        </w:tabs>
        <w:ind w:left="4320" w:hanging="360"/>
      </w:pPr>
      <w:rPr>
        <w:rFonts w:ascii="Arial" w:hAnsi="Arial" w:hint="default"/>
      </w:rPr>
    </w:lvl>
    <w:lvl w:ilvl="6" w:tplc="ED70959A" w:tentative="1">
      <w:start w:val="1"/>
      <w:numFmt w:val="bullet"/>
      <w:lvlText w:val="–"/>
      <w:lvlJc w:val="left"/>
      <w:pPr>
        <w:tabs>
          <w:tab w:val="num" w:pos="5040"/>
        </w:tabs>
        <w:ind w:left="5040" w:hanging="360"/>
      </w:pPr>
      <w:rPr>
        <w:rFonts w:ascii="Arial" w:hAnsi="Arial" w:hint="default"/>
      </w:rPr>
    </w:lvl>
    <w:lvl w:ilvl="7" w:tplc="DB84F8CC" w:tentative="1">
      <w:start w:val="1"/>
      <w:numFmt w:val="bullet"/>
      <w:lvlText w:val="–"/>
      <w:lvlJc w:val="left"/>
      <w:pPr>
        <w:tabs>
          <w:tab w:val="num" w:pos="5760"/>
        </w:tabs>
        <w:ind w:left="5760" w:hanging="360"/>
      </w:pPr>
      <w:rPr>
        <w:rFonts w:ascii="Arial" w:hAnsi="Arial" w:hint="default"/>
      </w:rPr>
    </w:lvl>
    <w:lvl w:ilvl="8" w:tplc="2DBCE502" w:tentative="1">
      <w:start w:val="1"/>
      <w:numFmt w:val="bullet"/>
      <w:lvlText w:val="–"/>
      <w:lvlJc w:val="left"/>
      <w:pPr>
        <w:tabs>
          <w:tab w:val="num" w:pos="6480"/>
        </w:tabs>
        <w:ind w:left="6480" w:hanging="360"/>
      </w:pPr>
      <w:rPr>
        <w:rFonts w:ascii="Arial" w:hAnsi="Arial" w:hint="default"/>
      </w:rPr>
    </w:lvl>
  </w:abstractNum>
  <w:abstractNum w:abstractNumId="35">
    <w:nsid w:val="72502F07"/>
    <w:multiLevelType w:val="hybridMultilevel"/>
    <w:tmpl w:val="C8C8367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39"/>
  </w:num>
  <w:num w:numId="3">
    <w:abstractNumId w:val="36"/>
  </w:num>
  <w:num w:numId="4">
    <w:abstractNumId w:val="37"/>
  </w:num>
  <w:num w:numId="5">
    <w:abstractNumId w:val="27"/>
  </w:num>
  <w:num w:numId="6">
    <w:abstractNumId w:val="24"/>
  </w:num>
  <w:num w:numId="7">
    <w:abstractNumId w:val="32"/>
  </w:num>
  <w:num w:numId="8">
    <w:abstractNumId w:val="38"/>
  </w:num>
  <w:num w:numId="9">
    <w:abstractNumId w:val="9"/>
  </w:num>
  <w:num w:numId="10">
    <w:abstractNumId w:val="17"/>
  </w:num>
  <w:num w:numId="11">
    <w:abstractNumId w:val="10"/>
  </w:num>
  <w:num w:numId="12">
    <w:abstractNumId w:val="40"/>
  </w:num>
  <w:num w:numId="13">
    <w:abstractNumId w:val="28"/>
  </w:num>
  <w:num w:numId="14">
    <w:abstractNumId w:val="3"/>
  </w:num>
  <w:num w:numId="15">
    <w:abstractNumId w:val="33"/>
  </w:num>
  <w:num w:numId="16">
    <w:abstractNumId w:val="35"/>
  </w:num>
  <w:num w:numId="17">
    <w:abstractNumId w:val="7"/>
  </w:num>
  <w:num w:numId="18">
    <w:abstractNumId w:val="31"/>
  </w:num>
  <w:num w:numId="19">
    <w:abstractNumId w:val="29"/>
  </w:num>
  <w:num w:numId="20">
    <w:abstractNumId w:val="27"/>
  </w:num>
  <w:num w:numId="21">
    <w:abstractNumId w:val="12"/>
  </w:num>
  <w:num w:numId="22">
    <w:abstractNumId w:val="5"/>
  </w:num>
  <w:num w:numId="23">
    <w:abstractNumId w:val="0"/>
  </w:num>
  <w:num w:numId="24">
    <w:abstractNumId w:val="15"/>
  </w:num>
  <w:num w:numId="25">
    <w:abstractNumId w:val="6"/>
  </w:num>
  <w:num w:numId="26">
    <w:abstractNumId w:val="30"/>
  </w:num>
  <w:num w:numId="27">
    <w:abstractNumId w:val="11"/>
  </w:num>
  <w:num w:numId="28">
    <w:abstractNumId w:val="25"/>
  </w:num>
  <w:num w:numId="29">
    <w:abstractNumId w:val="26"/>
  </w:num>
  <w:num w:numId="30">
    <w:abstractNumId w:val="1"/>
  </w:num>
  <w:num w:numId="31">
    <w:abstractNumId w:val="8"/>
  </w:num>
  <w:num w:numId="32">
    <w:abstractNumId w:val="2"/>
  </w:num>
  <w:num w:numId="33">
    <w:abstractNumId w:val="34"/>
  </w:num>
  <w:num w:numId="34">
    <w:abstractNumId w:val="16"/>
  </w:num>
  <w:num w:numId="35">
    <w:abstractNumId w:val="27"/>
  </w:num>
  <w:num w:numId="36">
    <w:abstractNumId w:val="23"/>
  </w:num>
  <w:num w:numId="37">
    <w:abstractNumId w:val="19"/>
  </w:num>
  <w:num w:numId="38">
    <w:abstractNumId w:val="14"/>
  </w:num>
  <w:num w:numId="39">
    <w:abstractNumId w:val="13"/>
  </w:num>
  <w:num w:numId="40">
    <w:abstractNumId w:val="18"/>
  </w:num>
  <w:num w:numId="41">
    <w:abstractNumId w:val="4"/>
  </w:num>
  <w:num w:numId="42">
    <w:abstractNumId w:val="20"/>
  </w:num>
  <w:num w:numId="43">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2DD"/>
    <w:rsid w:val="000054D6"/>
    <w:rsid w:val="000058D9"/>
    <w:rsid w:val="00005D67"/>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79A"/>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AD8"/>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2056"/>
    <w:rsid w:val="000322D5"/>
    <w:rsid w:val="000328C2"/>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3E9"/>
    <w:rsid w:val="00036787"/>
    <w:rsid w:val="00036C2C"/>
    <w:rsid w:val="00036DFB"/>
    <w:rsid w:val="00037189"/>
    <w:rsid w:val="000374D6"/>
    <w:rsid w:val="00037AC6"/>
    <w:rsid w:val="00037AD3"/>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D33"/>
    <w:rsid w:val="0004261C"/>
    <w:rsid w:val="0004269A"/>
    <w:rsid w:val="0004288D"/>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04E7"/>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C4B"/>
    <w:rsid w:val="00073DEC"/>
    <w:rsid w:val="00073E6A"/>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6F8"/>
    <w:rsid w:val="00086756"/>
    <w:rsid w:val="00086800"/>
    <w:rsid w:val="00086CD3"/>
    <w:rsid w:val="00086E01"/>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4F43"/>
    <w:rsid w:val="000953E8"/>
    <w:rsid w:val="0009571F"/>
    <w:rsid w:val="00095AA6"/>
    <w:rsid w:val="00095CCF"/>
    <w:rsid w:val="00096356"/>
    <w:rsid w:val="00096938"/>
    <w:rsid w:val="00096EBB"/>
    <w:rsid w:val="00096F8F"/>
    <w:rsid w:val="000974A6"/>
    <w:rsid w:val="000975AF"/>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08"/>
    <w:rsid w:val="000A4205"/>
    <w:rsid w:val="000A486D"/>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3A9"/>
    <w:rsid w:val="000C252B"/>
    <w:rsid w:val="000C2FBD"/>
    <w:rsid w:val="000C3A3B"/>
    <w:rsid w:val="000C3AE7"/>
    <w:rsid w:val="000C3B0C"/>
    <w:rsid w:val="000C3E0C"/>
    <w:rsid w:val="000C40E4"/>
    <w:rsid w:val="000C422D"/>
    <w:rsid w:val="000C469F"/>
    <w:rsid w:val="000C543E"/>
    <w:rsid w:val="000C5500"/>
    <w:rsid w:val="000C5581"/>
    <w:rsid w:val="000C5B5A"/>
    <w:rsid w:val="000C5F91"/>
    <w:rsid w:val="000C5FF2"/>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2F9B"/>
    <w:rsid w:val="000D320A"/>
    <w:rsid w:val="000D3682"/>
    <w:rsid w:val="000D36AE"/>
    <w:rsid w:val="000D38A1"/>
    <w:rsid w:val="000D41FA"/>
    <w:rsid w:val="000D49DB"/>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7B8"/>
    <w:rsid w:val="000F2A4D"/>
    <w:rsid w:val="000F2EEE"/>
    <w:rsid w:val="000F34B3"/>
    <w:rsid w:val="000F3697"/>
    <w:rsid w:val="000F467C"/>
    <w:rsid w:val="000F4727"/>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AB9"/>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5C5"/>
    <w:rsid w:val="00120B13"/>
    <w:rsid w:val="00120CCE"/>
    <w:rsid w:val="00121211"/>
    <w:rsid w:val="00121379"/>
    <w:rsid w:val="00122428"/>
    <w:rsid w:val="00122900"/>
    <w:rsid w:val="00122EF9"/>
    <w:rsid w:val="00123069"/>
    <w:rsid w:val="001230AF"/>
    <w:rsid w:val="001236CC"/>
    <w:rsid w:val="001237F8"/>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2F1"/>
    <w:rsid w:val="00130757"/>
    <w:rsid w:val="00130779"/>
    <w:rsid w:val="001307A1"/>
    <w:rsid w:val="00130B6A"/>
    <w:rsid w:val="00130CA4"/>
    <w:rsid w:val="00131B2A"/>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D35"/>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4B9"/>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143"/>
    <w:rsid w:val="00171238"/>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9AD"/>
    <w:rsid w:val="00183CED"/>
    <w:rsid w:val="00183EE6"/>
    <w:rsid w:val="001846B7"/>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6DB"/>
    <w:rsid w:val="0019685A"/>
    <w:rsid w:val="00197213"/>
    <w:rsid w:val="00197AC4"/>
    <w:rsid w:val="00197B53"/>
    <w:rsid w:val="001A0733"/>
    <w:rsid w:val="001A180D"/>
    <w:rsid w:val="001A1BAC"/>
    <w:rsid w:val="001A1DA2"/>
    <w:rsid w:val="001A20AC"/>
    <w:rsid w:val="001A229A"/>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73E"/>
    <w:rsid w:val="001A7102"/>
    <w:rsid w:val="001A7157"/>
    <w:rsid w:val="001A76C6"/>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ABB"/>
    <w:rsid w:val="001B5B33"/>
    <w:rsid w:val="001B5BB9"/>
    <w:rsid w:val="001B6564"/>
    <w:rsid w:val="001B691A"/>
    <w:rsid w:val="001B6B7E"/>
    <w:rsid w:val="001B738C"/>
    <w:rsid w:val="001B73F4"/>
    <w:rsid w:val="001B7665"/>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93D"/>
    <w:rsid w:val="001C5B13"/>
    <w:rsid w:val="001C5B3C"/>
    <w:rsid w:val="001C5D4F"/>
    <w:rsid w:val="001C6194"/>
    <w:rsid w:val="001C64C0"/>
    <w:rsid w:val="001C65B6"/>
    <w:rsid w:val="001C68CF"/>
    <w:rsid w:val="001C69DA"/>
    <w:rsid w:val="001C6E61"/>
    <w:rsid w:val="001C6F06"/>
    <w:rsid w:val="001C7194"/>
    <w:rsid w:val="001C74FA"/>
    <w:rsid w:val="001C7D2B"/>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08"/>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76"/>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4C"/>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371"/>
    <w:rsid w:val="001F5545"/>
    <w:rsid w:val="001F5777"/>
    <w:rsid w:val="001F5937"/>
    <w:rsid w:val="001F59E3"/>
    <w:rsid w:val="001F59ED"/>
    <w:rsid w:val="001F6141"/>
    <w:rsid w:val="001F6661"/>
    <w:rsid w:val="001F68FC"/>
    <w:rsid w:val="001F6BFE"/>
    <w:rsid w:val="001F7121"/>
    <w:rsid w:val="001F7302"/>
    <w:rsid w:val="001F77CE"/>
    <w:rsid w:val="001F7FBE"/>
    <w:rsid w:val="00200197"/>
    <w:rsid w:val="002004F6"/>
    <w:rsid w:val="002007DC"/>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ABC"/>
    <w:rsid w:val="00207C1C"/>
    <w:rsid w:val="00207C6A"/>
    <w:rsid w:val="00207CC4"/>
    <w:rsid w:val="00207EDF"/>
    <w:rsid w:val="00210189"/>
    <w:rsid w:val="002106B3"/>
    <w:rsid w:val="00210860"/>
    <w:rsid w:val="00210B6A"/>
    <w:rsid w:val="00210CEB"/>
    <w:rsid w:val="00210FF3"/>
    <w:rsid w:val="00211152"/>
    <w:rsid w:val="00211726"/>
    <w:rsid w:val="00211845"/>
    <w:rsid w:val="00211F1D"/>
    <w:rsid w:val="0021206C"/>
    <w:rsid w:val="00212CB6"/>
    <w:rsid w:val="00212E37"/>
    <w:rsid w:val="00213CC4"/>
    <w:rsid w:val="002140FF"/>
    <w:rsid w:val="002141D9"/>
    <w:rsid w:val="0021421D"/>
    <w:rsid w:val="002147FA"/>
    <w:rsid w:val="00214DAF"/>
    <w:rsid w:val="002155E6"/>
    <w:rsid w:val="00216194"/>
    <w:rsid w:val="0021753A"/>
    <w:rsid w:val="00217B99"/>
    <w:rsid w:val="00217C98"/>
    <w:rsid w:val="00217CD1"/>
    <w:rsid w:val="00217D4D"/>
    <w:rsid w:val="00217D6F"/>
    <w:rsid w:val="00217F39"/>
    <w:rsid w:val="00220575"/>
    <w:rsid w:val="00220576"/>
    <w:rsid w:val="00220894"/>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1AC7"/>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C9"/>
    <w:rsid w:val="002551D0"/>
    <w:rsid w:val="00255374"/>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B03"/>
    <w:rsid w:val="00272FD1"/>
    <w:rsid w:val="0027302B"/>
    <w:rsid w:val="002731DF"/>
    <w:rsid w:val="002733E2"/>
    <w:rsid w:val="002738A9"/>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7BF"/>
    <w:rsid w:val="00277835"/>
    <w:rsid w:val="00277928"/>
    <w:rsid w:val="002779E8"/>
    <w:rsid w:val="00277C0F"/>
    <w:rsid w:val="0028048C"/>
    <w:rsid w:val="00280608"/>
    <w:rsid w:val="00280AB1"/>
    <w:rsid w:val="00281751"/>
    <w:rsid w:val="00281C2B"/>
    <w:rsid w:val="00281ED9"/>
    <w:rsid w:val="00282378"/>
    <w:rsid w:val="00282463"/>
    <w:rsid w:val="002830D4"/>
    <w:rsid w:val="00284BAE"/>
    <w:rsid w:val="00285135"/>
    <w:rsid w:val="0028527A"/>
    <w:rsid w:val="00285673"/>
    <w:rsid w:val="00285676"/>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0A5"/>
    <w:rsid w:val="00295391"/>
    <w:rsid w:val="002957EF"/>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3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B51"/>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C33"/>
    <w:rsid w:val="002D1DD6"/>
    <w:rsid w:val="002D1F6C"/>
    <w:rsid w:val="002D2258"/>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5D24"/>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95"/>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2C75"/>
    <w:rsid w:val="00303440"/>
    <w:rsid w:val="00303704"/>
    <w:rsid w:val="0030448C"/>
    <w:rsid w:val="00304D9B"/>
    <w:rsid w:val="0030529B"/>
    <w:rsid w:val="00305582"/>
    <w:rsid w:val="00305765"/>
    <w:rsid w:val="00305C18"/>
    <w:rsid w:val="00305EE8"/>
    <w:rsid w:val="00305FF9"/>
    <w:rsid w:val="0030618E"/>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990"/>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87D"/>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C4F"/>
    <w:rsid w:val="00336D0A"/>
    <w:rsid w:val="00336ED8"/>
    <w:rsid w:val="003378DD"/>
    <w:rsid w:val="00337F85"/>
    <w:rsid w:val="0034226D"/>
    <w:rsid w:val="0034227F"/>
    <w:rsid w:val="003426C6"/>
    <w:rsid w:val="00342972"/>
    <w:rsid w:val="00342BA7"/>
    <w:rsid w:val="00342C56"/>
    <w:rsid w:val="00342FDD"/>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569"/>
    <w:rsid w:val="003626CD"/>
    <w:rsid w:val="003628BA"/>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4C"/>
    <w:rsid w:val="00387F8C"/>
    <w:rsid w:val="00390017"/>
    <w:rsid w:val="003901A3"/>
    <w:rsid w:val="003905E7"/>
    <w:rsid w:val="0039072F"/>
    <w:rsid w:val="0039079C"/>
    <w:rsid w:val="003909D7"/>
    <w:rsid w:val="00390DE3"/>
    <w:rsid w:val="0039100B"/>
    <w:rsid w:val="003911A0"/>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BC4"/>
    <w:rsid w:val="00395E66"/>
    <w:rsid w:val="00396234"/>
    <w:rsid w:val="00396350"/>
    <w:rsid w:val="00396737"/>
    <w:rsid w:val="00396998"/>
    <w:rsid w:val="00396C1C"/>
    <w:rsid w:val="00396F0D"/>
    <w:rsid w:val="00397C1D"/>
    <w:rsid w:val="00397D9E"/>
    <w:rsid w:val="00397FC3"/>
    <w:rsid w:val="003A08EA"/>
    <w:rsid w:val="003A180F"/>
    <w:rsid w:val="003A18DD"/>
    <w:rsid w:val="003A1A02"/>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ADA"/>
    <w:rsid w:val="003A63D7"/>
    <w:rsid w:val="003A68AD"/>
    <w:rsid w:val="003A6A4C"/>
    <w:rsid w:val="003A6AF9"/>
    <w:rsid w:val="003A700A"/>
    <w:rsid w:val="003A7346"/>
    <w:rsid w:val="003A73B9"/>
    <w:rsid w:val="003A7834"/>
    <w:rsid w:val="003A79D7"/>
    <w:rsid w:val="003B00C2"/>
    <w:rsid w:val="003B01B8"/>
    <w:rsid w:val="003B0676"/>
    <w:rsid w:val="003B07F5"/>
    <w:rsid w:val="003B0B5B"/>
    <w:rsid w:val="003B0E79"/>
    <w:rsid w:val="003B1C92"/>
    <w:rsid w:val="003B1F64"/>
    <w:rsid w:val="003B224E"/>
    <w:rsid w:val="003B2494"/>
    <w:rsid w:val="003B2F53"/>
    <w:rsid w:val="003B3575"/>
    <w:rsid w:val="003B3B2F"/>
    <w:rsid w:val="003B404F"/>
    <w:rsid w:val="003B429E"/>
    <w:rsid w:val="003B4351"/>
    <w:rsid w:val="003B45F6"/>
    <w:rsid w:val="003B468C"/>
    <w:rsid w:val="003B4E1C"/>
    <w:rsid w:val="003B50BC"/>
    <w:rsid w:val="003B515A"/>
    <w:rsid w:val="003B566E"/>
    <w:rsid w:val="003B56B0"/>
    <w:rsid w:val="003B5D97"/>
    <w:rsid w:val="003B63A4"/>
    <w:rsid w:val="003B68FE"/>
    <w:rsid w:val="003B6B48"/>
    <w:rsid w:val="003B6D7D"/>
    <w:rsid w:val="003B71B5"/>
    <w:rsid w:val="003B7D7E"/>
    <w:rsid w:val="003C0325"/>
    <w:rsid w:val="003C055B"/>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BDF"/>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522"/>
    <w:rsid w:val="003F07B2"/>
    <w:rsid w:val="003F0850"/>
    <w:rsid w:val="003F0927"/>
    <w:rsid w:val="003F09FC"/>
    <w:rsid w:val="003F0BC1"/>
    <w:rsid w:val="003F0D12"/>
    <w:rsid w:val="003F160C"/>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1CF6"/>
    <w:rsid w:val="0040209C"/>
    <w:rsid w:val="004020D4"/>
    <w:rsid w:val="004021B6"/>
    <w:rsid w:val="00402D95"/>
    <w:rsid w:val="00403701"/>
    <w:rsid w:val="004037BF"/>
    <w:rsid w:val="004037DB"/>
    <w:rsid w:val="00403BB9"/>
    <w:rsid w:val="00403C0D"/>
    <w:rsid w:val="004047C4"/>
    <w:rsid w:val="0040502F"/>
    <w:rsid w:val="004050B2"/>
    <w:rsid w:val="0040570B"/>
    <w:rsid w:val="004057F7"/>
    <w:rsid w:val="00405B06"/>
    <w:rsid w:val="00405D5B"/>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EFF"/>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4A"/>
    <w:rsid w:val="00425DA7"/>
    <w:rsid w:val="004261C8"/>
    <w:rsid w:val="00426266"/>
    <w:rsid w:val="004268E8"/>
    <w:rsid w:val="00426EBE"/>
    <w:rsid w:val="00427F80"/>
    <w:rsid w:val="004306BC"/>
    <w:rsid w:val="004307F1"/>
    <w:rsid w:val="00430A2D"/>
    <w:rsid w:val="00431186"/>
    <w:rsid w:val="00431407"/>
    <w:rsid w:val="00431505"/>
    <w:rsid w:val="004319CE"/>
    <w:rsid w:val="00431AF0"/>
    <w:rsid w:val="00431B81"/>
    <w:rsid w:val="00431E12"/>
    <w:rsid w:val="0043213A"/>
    <w:rsid w:val="00432E06"/>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19B"/>
    <w:rsid w:val="00440E86"/>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E26"/>
    <w:rsid w:val="00454FFE"/>
    <w:rsid w:val="00455113"/>
    <w:rsid w:val="00455D08"/>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C6E"/>
    <w:rsid w:val="004820BD"/>
    <w:rsid w:val="00482BBE"/>
    <w:rsid w:val="00482ED7"/>
    <w:rsid w:val="004837FA"/>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959"/>
    <w:rsid w:val="00492337"/>
    <w:rsid w:val="00492453"/>
    <w:rsid w:val="004926BE"/>
    <w:rsid w:val="00492DF8"/>
    <w:rsid w:val="00493055"/>
    <w:rsid w:val="00493141"/>
    <w:rsid w:val="004932E0"/>
    <w:rsid w:val="004935EC"/>
    <w:rsid w:val="00494242"/>
    <w:rsid w:val="00494887"/>
    <w:rsid w:val="00494A3D"/>
    <w:rsid w:val="00494C44"/>
    <w:rsid w:val="00494DD3"/>
    <w:rsid w:val="00494E8E"/>
    <w:rsid w:val="004955BC"/>
    <w:rsid w:val="00495D63"/>
    <w:rsid w:val="00495E92"/>
    <w:rsid w:val="0049648F"/>
    <w:rsid w:val="00496606"/>
    <w:rsid w:val="0049681A"/>
    <w:rsid w:val="004968F3"/>
    <w:rsid w:val="00496991"/>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2E6E"/>
    <w:rsid w:val="004B3220"/>
    <w:rsid w:val="004B407B"/>
    <w:rsid w:val="004B49E6"/>
    <w:rsid w:val="004B4D69"/>
    <w:rsid w:val="004B54AF"/>
    <w:rsid w:val="004B6373"/>
    <w:rsid w:val="004B64E3"/>
    <w:rsid w:val="004B682C"/>
    <w:rsid w:val="004B6CC9"/>
    <w:rsid w:val="004B79FF"/>
    <w:rsid w:val="004C01A8"/>
    <w:rsid w:val="004C07ED"/>
    <w:rsid w:val="004C0809"/>
    <w:rsid w:val="004C0B28"/>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E1E"/>
    <w:rsid w:val="004C61B9"/>
    <w:rsid w:val="004C621F"/>
    <w:rsid w:val="004C6F0F"/>
    <w:rsid w:val="004C7015"/>
    <w:rsid w:val="004C78EF"/>
    <w:rsid w:val="004C7948"/>
    <w:rsid w:val="004C7BB8"/>
    <w:rsid w:val="004C7C54"/>
    <w:rsid w:val="004C7C60"/>
    <w:rsid w:val="004C7F9B"/>
    <w:rsid w:val="004D0378"/>
    <w:rsid w:val="004D0393"/>
    <w:rsid w:val="004D077F"/>
    <w:rsid w:val="004D088E"/>
    <w:rsid w:val="004D0DFE"/>
    <w:rsid w:val="004D136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F0634"/>
    <w:rsid w:val="004F0AFD"/>
    <w:rsid w:val="004F0D9F"/>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5E11"/>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695C"/>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79"/>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64"/>
    <w:rsid w:val="00557C5D"/>
    <w:rsid w:val="005601DC"/>
    <w:rsid w:val="005605C0"/>
    <w:rsid w:val="00560A70"/>
    <w:rsid w:val="00560C33"/>
    <w:rsid w:val="00560D23"/>
    <w:rsid w:val="005614E5"/>
    <w:rsid w:val="005615BB"/>
    <w:rsid w:val="005615D8"/>
    <w:rsid w:val="005616DE"/>
    <w:rsid w:val="00561F02"/>
    <w:rsid w:val="00562113"/>
    <w:rsid w:val="005626D6"/>
    <w:rsid w:val="00563352"/>
    <w:rsid w:val="005638D0"/>
    <w:rsid w:val="005638D4"/>
    <w:rsid w:val="00563B6A"/>
    <w:rsid w:val="005644BE"/>
    <w:rsid w:val="00564AD6"/>
    <w:rsid w:val="00565664"/>
    <w:rsid w:val="005656ED"/>
    <w:rsid w:val="00565887"/>
    <w:rsid w:val="00565AAE"/>
    <w:rsid w:val="00566544"/>
    <w:rsid w:val="00566608"/>
    <w:rsid w:val="00566C83"/>
    <w:rsid w:val="00566E2E"/>
    <w:rsid w:val="00566F79"/>
    <w:rsid w:val="00567A9F"/>
    <w:rsid w:val="00567B4B"/>
    <w:rsid w:val="00570032"/>
    <w:rsid w:val="005700FE"/>
    <w:rsid w:val="005704AC"/>
    <w:rsid w:val="00570894"/>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40"/>
    <w:rsid w:val="005759F6"/>
    <w:rsid w:val="00575E3E"/>
    <w:rsid w:val="005762DE"/>
    <w:rsid w:val="005765AE"/>
    <w:rsid w:val="005765DB"/>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64D3"/>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2D4"/>
    <w:rsid w:val="005B793E"/>
    <w:rsid w:val="005B7DD1"/>
    <w:rsid w:val="005C00A0"/>
    <w:rsid w:val="005C0985"/>
    <w:rsid w:val="005C1680"/>
    <w:rsid w:val="005C177E"/>
    <w:rsid w:val="005C1942"/>
    <w:rsid w:val="005C1AA1"/>
    <w:rsid w:val="005C28FA"/>
    <w:rsid w:val="005C29ED"/>
    <w:rsid w:val="005C2BF5"/>
    <w:rsid w:val="005C2E01"/>
    <w:rsid w:val="005C33A7"/>
    <w:rsid w:val="005C3616"/>
    <w:rsid w:val="005C38F1"/>
    <w:rsid w:val="005C3D68"/>
    <w:rsid w:val="005C3FB6"/>
    <w:rsid w:val="005C40F4"/>
    <w:rsid w:val="005C4163"/>
    <w:rsid w:val="005C43BE"/>
    <w:rsid w:val="005C44B3"/>
    <w:rsid w:val="005C44F3"/>
    <w:rsid w:val="005C477F"/>
    <w:rsid w:val="005C4DA8"/>
    <w:rsid w:val="005C5112"/>
    <w:rsid w:val="005C59B5"/>
    <w:rsid w:val="005C5B1B"/>
    <w:rsid w:val="005C622B"/>
    <w:rsid w:val="005C6735"/>
    <w:rsid w:val="005C687B"/>
    <w:rsid w:val="005C68B2"/>
    <w:rsid w:val="005C6B18"/>
    <w:rsid w:val="005C712D"/>
    <w:rsid w:val="005C7C75"/>
    <w:rsid w:val="005C7DEC"/>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354"/>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4D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4C7"/>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5BC"/>
    <w:rsid w:val="006177F8"/>
    <w:rsid w:val="00617913"/>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2D6"/>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284"/>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E84"/>
    <w:rsid w:val="00656032"/>
    <w:rsid w:val="006571F6"/>
    <w:rsid w:val="0065775C"/>
    <w:rsid w:val="00657F78"/>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5FA8"/>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B34"/>
    <w:rsid w:val="00681211"/>
    <w:rsid w:val="00681474"/>
    <w:rsid w:val="00681B36"/>
    <w:rsid w:val="006822AB"/>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4A7"/>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7C"/>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7EA"/>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9D3"/>
    <w:rsid w:val="006D3BE1"/>
    <w:rsid w:val="006D427F"/>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365"/>
    <w:rsid w:val="006F1437"/>
    <w:rsid w:val="006F150A"/>
    <w:rsid w:val="006F1550"/>
    <w:rsid w:val="006F1D80"/>
    <w:rsid w:val="006F1EB7"/>
    <w:rsid w:val="006F29A2"/>
    <w:rsid w:val="006F343B"/>
    <w:rsid w:val="006F39F9"/>
    <w:rsid w:val="006F4895"/>
    <w:rsid w:val="006F48D6"/>
    <w:rsid w:val="006F4BB0"/>
    <w:rsid w:val="006F4F23"/>
    <w:rsid w:val="006F5231"/>
    <w:rsid w:val="006F52E5"/>
    <w:rsid w:val="006F5682"/>
    <w:rsid w:val="006F5A18"/>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229"/>
    <w:rsid w:val="00701543"/>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C38"/>
    <w:rsid w:val="00705F6D"/>
    <w:rsid w:val="00706168"/>
    <w:rsid w:val="00706465"/>
    <w:rsid w:val="00706877"/>
    <w:rsid w:val="0070695A"/>
    <w:rsid w:val="00706A77"/>
    <w:rsid w:val="00706C00"/>
    <w:rsid w:val="00706CAA"/>
    <w:rsid w:val="00707418"/>
    <w:rsid w:val="007075E0"/>
    <w:rsid w:val="0070782D"/>
    <w:rsid w:val="00707C46"/>
    <w:rsid w:val="007100A0"/>
    <w:rsid w:val="007100A2"/>
    <w:rsid w:val="007100E4"/>
    <w:rsid w:val="00710179"/>
    <w:rsid w:val="00710759"/>
    <w:rsid w:val="007109C2"/>
    <w:rsid w:val="00710DAD"/>
    <w:rsid w:val="00710E7A"/>
    <w:rsid w:val="007111E6"/>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4EEF"/>
    <w:rsid w:val="00715EA9"/>
    <w:rsid w:val="00715F8E"/>
    <w:rsid w:val="00716160"/>
    <w:rsid w:val="00716462"/>
    <w:rsid w:val="00716666"/>
    <w:rsid w:val="00716C4B"/>
    <w:rsid w:val="00716C4F"/>
    <w:rsid w:val="00716D56"/>
    <w:rsid w:val="00716E53"/>
    <w:rsid w:val="0071712C"/>
    <w:rsid w:val="0071744A"/>
    <w:rsid w:val="00717722"/>
    <w:rsid w:val="00717947"/>
    <w:rsid w:val="007200E1"/>
    <w:rsid w:val="0072039D"/>
    <w:rsid w:val="0072060F"/>
    <w:rsid w:val="00720EAE"/>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3EA"/>
    <w:rsid w:val="0076041A"/>
    <w:rsid w:val="0076063D"/>
    <w:rsid w:val="00760975"/>
    <w:rsid w:val="00760C3F"/>
    <w:rsid w:val="0076193A"/>
    <w:rsid w:val="00761FDA"/>
    <w:rsid w:val="0076205E"/>
    <w:rsid w:val="007621FF"/>
    <w:rsid w:val="007629A0"/>
    <w:rsid w:val="00763412"/>
    <w:rsid w:val="007634E3"/>
    <w:rsid w:val="00763799"/>
    <w:rsid w:val="00763EC5"/>
    <w:rsid w:val="00764194"/>
    <w:rsid w:val="0076463F"/>
    <w:rsid w:val="00764953"/>
    <w:rsid w:val="00764CA4"/>
    <w:rsid w:val="00764DD8"/>
    <w:rsid w:val="00765351"/>
    <w:rsid w:val="00765CDE"/>
    <w:rsid w:val="00765ED3"/>
    <w:rsid w:val="00766008"/>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99D"/>
    <w:rsid w:val="007820FA"/>
    <w:rsid w:val="0078237B"/>
    <w:rsid w:val="00782644"/>
    <w:rsid w:val="00782789"/>
    <w:rsid w:val="0078283C"/>
    <w:rsid w:val="0078285F"/>
    <w:rsid w:val="007829A0"/>
    <w:rsid w:val="00782C05"/>
    <w:rsid w:val="00783207"/>
    <w:rsid w:val="00783259"/>
    <w:rsid w:val="0078332A"/>
    <w:rsid w:val="00783659"/>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C9F"/>
    <w:rsid w:val="007A1F44"/>
    <w:rsid w:val="007A228D"/>
    <w:rsid w:val="007A23FF"/>
    <w:rsid w:val="007A2581"/>
    <w:rsid w:val="007A295B"/>
    <w:rsid w:val="007A298F"/>
    <w:rsid w:val="007A2A02"/>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4A2C"/>
    <w:rsid w:val="007C50E4"/>
    <w:rsid w:val="007C5869"/>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3915"/>
    <w:rsid w:val="007E409F"/>
    <w:rsid w:val="007E444A"/>
    <w:rsid w:val="007E4AC3"/>
    <w:rsid w:val="007E4C88"/>
    <w:rsid w:val="007E5816"/>
    <w:rsid w:val="007E585E"/>
    <w:rsid w:val="007E6616"/>
    <w:rsid w:val="007E671D"/>
    <w:rsid w:val="007E6CDB"/>
    <w:rsid w:val="007E7067"/>
    <w:rsid w:val="007E71CF"/>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AFB"/>
    <w:rsid w:val="00813B31"/>
    <w:rsid w:val="0081449A"/>
    <w:rsid w:val="00814565"/>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8A"/>
    <w:rsid w:val="00835FE5"/>
    <w:rsid w:val="00836028"/>
    <w:rsid w:val="00836E70"/>
    <w:rsid w:val="00836F92"/>
    <w:rsid w:val="00836FEB"/>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5F1"/>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9C6"/>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038B"/>
    <w:rsid w:val="00870AFF"/>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297"/>
    <w:rsid w:val="00875370"/>
    <w:rsid w:val="008756A4"/>
    <w:rsid w:val="00875EA3"/>
    <w:rsid w:val="00875F73"/>
    <w:rsid w:val="0087601F"/>
    <w:rsid w:val="00876257"/>
    <w:rsid w:val="00876537"/>
    <w:rsid w:val="00876540"/>
    <w:rsid w:val="00876760"/>
    <w:rsid w:val="008778F9"/>
    <w:rsid w:val="008802D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1FE"/>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6B1"/>
    <w:rsid w:val="008A4830"/>
    <w:rsid w:val="008A5159"/>
    <w:rsid w:val="008A51AC"/>
    <w:rsid w:val="008A556B"/>
    <w:rsid w:val="008A5940"/>
    <w:rsid w:val="008A5B54"/>
    <w:rsid w:val="008A5D0A"/>
    <w:rsid w:val="008A66D9"/>
    <w:rsid w:val="008A6A8A"/>
    <w:rsid w:val="008A6C6E"/>
    <w:rsid w:val="008A6C83"/>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286"/>
    <w:rsid w:val="008B49B1"/>
    <w:rsid w:val="008B4E33"/>
    <w:rsid w:val="008B5299"/>
    <w:rsid w:val="008B5936"/>
    <w:rsid w:val="008B5A5F"/>
    <w:rsid w:val="008B5AB0"/>
    <w:rsid w:val="008B6054"/>
    <w:rsid w:val="008B6222"/>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B50"/>
    <w:rsid w:val="008C6FC7"/>
    <w:rsid w:val="008C785E"/>
    <w:rsid w:val="008D000E"/>
    <w:rsid w:val="008D01B6"/>
    <w:rsid w:val="008D082F"/>
    <w:rsid w:val="008D084E"/>
    <w:rsid w:val="008D0AFB"/>
    <w:rsid w:val="008D14F4"/>
    <w:rsid w:val="008D1511"/>
    <w:rsid w:val="008D1A81"/>
    <w:rsid w:val="008D1C9B"/>
    <w:rsid w:val="008D210D"/>
    <w:rsid w:val="008D2171"/>
    <w:rsid w:val="008D2C92"/>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D82"/>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BC6"/>
    <w:rsid w:val="008E5034"/>
    <w:rsid w:val="008E54FA"/>
    <w:rsid w:val="008E5BF2"/>
    <w:rsid w:val="008E5C81"/>
    <w:rsid w:val="008E5E22"/>
    <w:rsid w:val="008E6A0D"/>
    <w:rsid w:val="008E6B63"/>
    <w:rsid w:val="008E7332"/>
    <w:rsid w:val="008E7D7C"/>
    <w:rsid w:val="008F0017"/>
    <w:rsid w:val="008F04E7"/>
    <w:rsid w:val="008F0A38"/>
    <w:rsid w:val="008F0BF5"/>
    <w:rsid w:val="008F0E0A"/>
    <w:rsid w:val="008F0F84"/>
    <w:rsid w:val="008F1014"/>
    <w:rsid w:val="008F11C9"/>
    <w:rsid w:val="008F14A9"/>
    <w:rsid w:val="008F18C2"/>
    <w:rsid w:val="008F23D8"/>
    <w:rsid w:val="008F2C03"/>
    <w:rsid w:val="008F2FD5"/>
    <w:rsid w:val="008F37E5"/>
    <w:rsid w:val="008F3A19"/>
    <w:rsid w:val="008F4406"/>
    <w:rsid w:val="008F44FC"/>
    <w:rsid w:val="008F4866"/>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88C"/>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E00"/>
    <w:rsid w:val="0091088D"/>
    <w:rsid w:val="00910FC9"/>
    <w:rsid w:val="00911472"/>
    <w:rsid w:val="009115B4"/>
    <w:rsid w:val="0091238F"/>
    <w:rsid w:val="0091249B"/>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4C5"/>
    <w:rsid w:val="009207A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03"/>
    <w:rsid w:val="009302BD"/>
    <w:rsid w:val="009308FA"/>
    <w:rsid w:val="0093094D"/>
    <w:rsid w:val="009309B7"/>
    <w:rsid w:val="0093117D"/>
    <w:rsid w:val="009316F7"/>
    <w:rsid w:val="009318F1"/>
    <w:rsid w:val="00931CCE"/>
    <w:rsid w:val="00931EF1"/>
    <w:rsid w:val="00932091"/>
    <w:rsid w:val="00932166"/>
    <w:rsid w:val="00932381"/>
    <w:rsid w:val="00932594"/>
    <w:rsid w:val="009328C7"/>
    <w:rsid w:val="00933184"/>
    <w:rsid w:val="009336EC"/>
    <w:rsid w:val="00933776"/>
    <w:rsid w:val="00933F31"/>
    <w:rsid w:val="00933F56"/>
    <w:rsid w:val="00934439"/>
    <w:rsid w:val="009349D6"/>
    <w:rsid w:val="00934C13"/>
    <w:rsid w:val="00934CA3"/>
    <w:rsid w:val="00934D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5A4"/>
    <w:rsid w:val="0095380C"/>
    <w:rsid w:val="00953C29"/>
    <w:rsid w:val="00953C36"/>
    <w:rsid w:val="00953FF5"/>
    <w:rsid w:val="0095428B"/>
    <w:rsid w:val="00954353"/>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B91"/>
    <w:rsid w:val="00960E4A"/>
    <w:rsid w:val="0096107C"/>
    <w:rsid w:val="00961288"/>
    <w:rsid w:val="009618E4"/>
    <w:rsid w:val="00961E72"/>
    <w:rsid w:val="009620FF"/>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8AD"/>
    <w:rsid w:val="00975D6A"/>
    <w:rsid w:val="00975E48"/>
    <w:rsid w:val="00975ECF"/>
    <w:rsid w:val="00976257"/>
    <w:rsid w:val="009768DE"/>
    <w:rsid w:val="00976E0D"/>
    <w:rsid w:val="00977091"/>
    <w:rsid w:val="009771DA"/>
    <w:rsid w:val="0097775D"/>
    <w:rsid w:val="009778B6"/>
    <w:rsid w:val="0097791F"/>
    <w:rsid w:val="009779A8"/>
    <w:rsid w:val="00977BA7"/>
    <w:rsid w:val="00977CF1"/>
    <w:rsid w:val="0098092F"/>
    <w:rsid w:val="009809CE"/>
    <w:rsid w:val="00980BFB"/>
    <w:rsid w:val="0098194F"/>
    <w:rsid w:val="00981ACB"/>
    <w:rsid w:val="00981C99"/>
    <w:rsid w:val="009822D8"/>
    <w:rsid w:val="009826C8"/>
    <w:rsid w:val="00982BA6"/>
    <w:rsid w:val="009836E4"/>
    <w:rsid w:val="00983994"/>
    <w:rsid w:val="00983E12"/>
    <w:rsid w:val="009840EC"/>
    <w:rsid w:val="0098412F"/>
    <w:rsid w:val="00984534"/>
    <w:rsid w:val="00984748"/>
    <w:rsid w:val="00984845"/>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84D"/>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382"/>
    <w:rsid w:val="009A745C"/>
    <w:rsid w:val="009A7B3F"/>
    <w:rsid w:val="009A7D66"/>
    <w:rsid w:val="009B06F4"/>
    <w:rsid w:val="009B081F"/>
    <w:rsid w:val="009B0E89"/>
    <w:rsid w:val="009B0FDC"/>
    <w:rsid w:val="009B12A1"/>
    <w:rsid w:val="009B174D"/>
    <w:rsid w:val="009B1DB8"/>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37C1"/>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E5"/>
    <w:rsid w:val="00A01771"/>
    <w:rsid w:val="00A01EA9"/>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326"/>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94B"/>
    <w:rsid w:val="00A32BB7"/>
    <w:rsid w:val="00A33172"/>
    <w:rsid w:val="00A334B1"/>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32"/>
    <w:rsid w:val="00A45295"/>
    <w:rsid w:val="00A45437"/>
    <w:rsid w:val="00A4549F"/>
    <w:rsid w:val="00A455C9"/>
    <w:rsid w:val="00A45B67"/>
    <w:rsid w:val="00A45B9B"/>
    <w:rsid w:val="00A45BA2"/>
    <w:rsid w:val="00A45DD7"/>
    <w:rsid w:val="00A462D6"/>
    <w:rsid w:val="00A462FE"/>
    <w:rsid w:val="00A469AF"/>
    <w:rsid w:val="00A4706E"/>
    <w:rsid w:val="00A476DA"/>
    <w:rsid w:val="00A4795A"/>
    <w:rsid w:val="00A47A4D"/>
    <w:rsid w:val="00A47DD3"/>
    <w:rsid w:val="00A500B8"/>
    <w:rsid w:val="00A500DF"/>
    <w:rsid w:val="00A501C9"/>
    <w:rsid w:val="00A503CC"/>
    <w:rsid w:val="00A50506"/>
    <w:rsid w:val="00A50AAE"/>
    <w:rsid w:val="00A50DEC"/>
    <w:rsid w:val="00A50E88"/>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F9"/>
    <w:rsid w:val="00A5660E"/>
    <w:rsid w:val="00A5684D"/>
    <w:rsid w:val="00A5697F"/>
    <w:rsid w:val="00A569D4"/>
    <w:rsid w:val="00A56DE0"/>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98B"/>
    <w:rsid w:val="00A86D63"/>
    <w:rsid w:val="00A86E57"/>
    <w:rsid w:val="00A87797"/>
    <w:rsid w:val="00A87977"/>
    <w:rsid w:val="00A87E7B"/>
    <w:rsid w:val="00A90131"/>
    <w:rsid w:val="00A909BB"/>
    <w:rsid w:val="00A90B97"/>
    <w:rsid w:val="00A90DE9"/>
    <w:rsid w:val="00A90E72"/>
    <w:rsid w:val="00A910F9"/>
    <w:rsid w:val="00A91DC1"/>
    <w:rsid w:val="00A922A2"/>
    <w:rsid w:val="00A92ED8"/>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35"/>
    <w:rsid w:val="00AA26E3"/>
    <w:rsid w:val="00AA2AC8"/>
    <w:rsid w:val="00AA31EE"/>
    <w:rsid w:val="00AA3842"/>
    <w:rsid w:val="00AA384D"/>
    <w:rsid w:val="00AA3DB7"/>
    <w:rsid w:val="00AA4876"/>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24"/>
    <w:rsid w:val="00AA7F3C"/>
    <w:rsid w:val="00AA7F53"/>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4F6"/>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5BF"/>
    <w:rsid w:val="00AC22FA"/>
    <w:rsid w:val="00AC268E"/>
    <w:rsid w:val="00AC2EC3"/>
    <w:rsid w:val="00AC32B0"/>
    <w:rsid w:val="00AC32FC"/>
    <w:rsid w:val="00AC349D"/>
    <w:rsid w:val="00AC3A83"/>
    <w:rsid w:val="00AC3C38"/>
    <w:rsid w:val="00AC3DEA"/>
    <w:rsid w:val="00AC3E0A"/>
    <w:rsid w:val="00AC4903"/>
    <w:rsid w:val="00AC5144"/>
    <w:rsid w:val="00AC5243"/>
    <w:rsid w:val="00AC5548"/>
    <w:rsid w:val="00AC63D7"/>
    <w:rsid w:val="00AC63D8"/>
    <w:rsid w:val="00AC6B0F"/>
    <w:rsid w:val="00AC71DB"/>
    <w:rsid w:val="00AC72A8"/>
    <w:rsid w:val="00AC74DA"/>
    <w:rsid w:val="00AC7A2B"/>
    <w:rsid w:val="00AC7C25"/>
    <w:rsid w:val="00AC7C89"/>
    <w:rsid w:val="00AD06C6"/>
    <w:rsid w:val="00AD0701"/>
    <w:rsid w:val="00AD0A51"/>
    <w:rsid w:val="00AD0B37"/>
    <w:rsid w:val="00AD0C8F"/>
    <w:rsid w:val="00AD11A7"/>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FD8"/>
    <w:rsid w:val="00AE6183"/>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5F5"/>
    <w:rsid w:val="00B019DC"/>
    <w:rsid w:val="00B01F39"/>
    <w:rsid w:val="00B021DB"/>
    <w:rsid w:val="00B026C1"/>
    <w:rsid w:val="00B02827"/>
    <w:rsid w:val="00B02A69"/>
    <w:rsid w:val="00B02B9C"/>
    <w:rsid w:val="00B0353B"/>
    <w:rsid w:val="00B03701"/>
    <w:rsid w:val="00B03B08"/>
    <w:rsid w:val="00B03D87"/>
    <w:rsid w:val="00B040B2"/>
    <w:rsid w:val="00B043E9"/>
    <w:rsid w:val="00B0471F"/>
    <w:rsid w:val="00B04BD3"/>
    <w:rsid w:val="00B04D49"/>
    <w:rsid w:val="00B0524A"/>
    <w:rsid w:val="00B05369"/>
    <w:rsid w:val="00B05477"/>
    <w:rsid w:val="00B055DC"/>
    <w:rsid w:val="00B05746"/>
    <w:rsid w:val="00B05931"/>
    <w:rsid w:val="00B05C4B"/>
    <w:rsid w:val="00B05C5E"/>
    <w:rsid w:val="00B06248"/>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E96"/>
    <w:rsid w:val="00B4655C"/>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956"/>
    <w:rsid w:val="00B650B9"/>
    <w:rsid w:val="00B655E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89"/>
    <w:rsid w:val="00B725C2"/>
    <w:rsid w:val="00B72660"/>
    <w:rsid w:val="00B72E8A"/>
    <w:rsid w:val="00B73671"/>
    <w:rsid w:val="00B7408D"/>
    <w:rsid w:val="00B74163"/>
    <w:rsid w:val="00B74663"/>
    <w:rsid w:val="00B746C6"/>
    <w:rsid w:val="00B7487E"/>
    <w:rsid w:val="00B7522F"/>
    <w:rsid w:val="00B7537B"/>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233"/>
    <w:rsid w:val="00BB335C"/>
    <w:rsid w:val="00BB3A0F"/>
    <w:rsid w:val="00BB3F30"/>
    <w:rsid w:val="00BB46DC"/>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10E"/>
    <w:rsid w:val="00BC46EF"/>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E44"/>
    <w:rsid w:val="00BE2F35"/>
    <w:rsid w:val="00BE2F39"/>
    <w:rsid w:val="00BE332D"/>
    <w:rsid w:val="00BE3814"/>
    <w:rsid w:val="00BE3AF0"/>
    <w:rsid w:val="00BE3CF1"/>
    <w:rsid w:val="00BE3ECB"/>
    <w:rsid w:val="00BE400E"/>
    <w:rsid w:val="00BE419C"/>
    <w:rsid w:val="00BE4798"/>
    <w:rsid w:val="00BE4B20"/>
    <w:rsid w:val="00BE4DE1"/>
    <w:rsid w:val="00BE51E1"/>
    <w:rsid w:val="00BE5773"/>
    <w:rsid w:val="00BE59BE"/>
    <w:rsid w:val="00BE5FC4"/>
    <w:rsid w:val="00BE61C8"/>
    <w:rsid w:val="00BE6586"/>
    <w:rsid w:val="00BE6C0A"/>
    <w:rsid w:val="00BE6CF2"/>
    <w:rsid w:val="00BE76DD"/>
    <w:rsid w:val="00BE79FB"/>
    <w:rsid w:val="00BE7C4D"/>
    <w:rsid w:val="00BE7F6A"/>
    <w:rsid w:val="00BF0274"/>
    <w:rsid w:val="00BF03A6"/>
    <w:rsid w:val="00BF08C4"/>
    <w:rsid w:val="00BF0BAF"/>
    <w:rsid w:val="00BF0C4E"/>
    <w:rsid w:val="00BF0F9D"/>
    <w:rsid w:val="00BF1116"/>
    <w:rsid w:val="00BF135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80D"/>
    <w:rsid w:val="00C038BA"/>
    <w:rsid w:val="00C03CA8"/>
    <w:rsid w:val="00C03EE8"/>
    <w:rsid w:val="00C04205"/>
    <w:rsid w:val="00C04513"/>
    <w:rsid w:val="00C04839"/>
    <w:rsid w:val="00C04873"/>
    <w:rsid w:val="00C05041"/>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2C6"/>
    <w:rsid w:val="00C174B6"/>
    <w:rsid w:val="00C1778E"/>
    <w:rsid w:val="00C17BED"/>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963"/>
    <w:rsid w:val="00C23D56"/>
    <w:rsid w:val="00C23D9E"/>
    <w:rsid w:val="00C24200"/>
    <w:rsid w:val="00C242A8"/>
    <w:rsid w:val="00C243F3"/>
    <w:rsid w:val="00C24E78"/>
    <w:rsid w:val="00C25503"/>
    <w:rsid w:val="00C255A5"/>
    <w:rsid w:val="00C2584B"/>
    <w:rsid w:val="00C25942"/>
    <w:rsid w:val="00C25DD9"/>
    <w:rsid w:val="00C26444"/>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1C6"/>
    <w:rsid w:val="00C40373"/>
    <w:rsid w:val="00C40682"/>
    <w:rsid w:val="00C4072F"/>
    <w:rsid w:val="00C4082D"/>
    <w:rsid w:val="00C40AE6"/>
    <w:rsid w:val="00C40CBC"/>
    <w:rsid w:val="00C40D8A"/>
    <w:rsid w:val="00C40F93"/>
    <w:rsid w:val="00C40FFA"/>
    <w:rsid w:val="00C4101B"/>
    <w:rsid w:val="00C411AF"/>
    <w:rsid w:val="00C4138D"/>
    <w:rsid w:val="00C416CB"/>
    <w:rsid w:val="00C4179A"/>
    <w:rsid w:val="00C41E3A"/>
    <w:rsid w:val="00C42031"/>
    <w:rsid w:val="00C423FF"/>
    <w:rsid w:val="00C4270E"/>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DF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24"/>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1FC"/>
    <w:rsid w:val="00C67357"/>
    <w:rsid w:val="00C677C2"/>
    <w:rsid w:val="00C67822"/>
    <w:rsid w:val="00C6785D"/>
    <w:rsid w:val="00C67D63"/>
    <w:rsid w:val="00C67EAB"/>
    <w:rsid w:val="00C70342"/>
    <w:rsid w:val="00C70584"/>
    <w:rsid w:val="00C70DFF"/>
    <w:rsid w:val="00C714A5"/>
    <w:rsid w:val="00C719DD"/>
    <w:rsid w:val="00C71F93"/>
    <w:rsid w:val="00C723DC"/>
    <w:rsid w:val="00C729AA"/>
    <w:rsid w:val="00C72A52"/>
    <w:rsid w:val="00C72F91"/>
    <w:rsid w:val="00C7324F"/>
    <w:rsid w:val="00C733B0"/>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1F5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6A28"/>
    <w:rsid w:val="00CD6E3D"/>
    <w:rsid w:val="00CD71AB"/>
    <w:rsid w:val="00CD746A"/>
    <w:rsid w:val="00CD77F2"/>
    <w:rsid w:val="00CE0109"/>
    <w:rsid w:val="00CE0A18"/>
    <w:rsid w:val="00CE1377"/>
    <w:rsid w:val="00CE198D"/>
    <w:rsid w:val="00CE1A12"/>
    <w:rsid w:val="00CE1CCB"/>
    <w:rsid w:val="00CE1DF4"/>
    <w:rsid w:val="00CE1F89"/>
    <w:rsid w:val="00CE1FC5"/>
    <w:rsid w:val="00CE209C"/>
    <w:rsid w:val="00CE2584"/>
    <w:rsid w:val="00CE27A4"/>
    <w:rsid w:val="00CE329A"/>
    <w:rsid w:val="00CE331F"/>
    <w:rsid w:val="00CE364C"/>
    <w:rsid w:val="00CE3FEB"/>
    <w:rsid w:val="00CE40CF"/>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2C85"/>
    <w:rsid w:val="00CF313D"/>
    <w:rsid w:val="00CF353B"/>
    <w:rsid w:val="00CF3789"/>
    <w:rsid w:val="00CF3B1E"/>
    <w:rsid w:val="00CF3F0E"/>
    <w:rsid w:val="00CF4247"/>
    <w:rsid w:val="00CF44CE"/>
    <w:rsid w:val="00CF4AA6"/>
    <w:rsid w:val="00CF5263"/>
    <w:rsid w:val="00CF60B5"/>
    <w:rsid w:val="00CF6265"/>
    <w:rsid w:val="00CF6C71"/>
    <w:rsid w:val="00CF7076"/>
    <w:rsid w:val="00CF7571"/>
    <w:rsid w:val="00CF774C"/>
    <w:rsid w:val="00CF7BEB"/>
    <w:rsid w:val="00D004FA"/>
    <w:rsid w:val="00D00636"/>
    <w:rsid w:val="00D0071A"/>
    <w:rsid w:val="00D00A57"/>
    <w:rsid w:val="00D00EC9"/>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54B"/>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246"/>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5785E"/>
    <w:rsid w:val="00D57DCA"/>
    <w:rsid w:val="00D60463"/>
    <w:rsid w:val="00D60C8D"/>
    <w:rsid w:val="00D60F60"/>
    <w:rsid w:val="00D61018"/>
    <w:rsid w:val="00D61341"/>
    <w:rsid w:val="00D61374"/>
    <w:rsid w:val="00D6168A"/>
    <w:rsid w:val="00D616A5"/>
    <w:rsid w:val="00D61EAF"/>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C45"/>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1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4EB4"/>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B0C"/>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5FCA"/>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29A"/>
    <w:rsid w:val="00DF03E9"/>
    <w:rsid w:val="00DF03ED"/>
    <w:rsid w:val="00DF04EE"/>
    <w:rsid w:val="00DF0BF4"/>
    <w:rsid w:val="00DF0C3D"/>
    <w:rsid w:val="00DF0C51"/>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2F3"/>
    <w:rsid w:val="00E273CB"/>
    <w:rsid w:val="00E2745B"/>
    <w:rsid w:val="00E27BE7"/>
    <w:rsid w:val="00E27F60"/>
    <w:rsid w:val="00E30022"/>
    <w:rsid w:val="00E30719"/>
    <w:rsid w:val="00E30EBD"/>
    <w:rsid w:val="00E3115F"/>
    <w:rsid w:val="00E312E8"/>
    <w:rsid w:val="00E3138F"/>
    <w:rsid w:val="00E31491"/>
    <w:rsid w:val="00E31D1C"/>
    <w:rsid w:val="00E31FB9"/>
    <w:rsid w:val="00E32274"/>
    <w:rsid w:val="00E32617"/>
    <w:rsid w:val="00E3271D"/>
    <w:rsid w:val="00E32D62"/>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1EF1"/>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577C"/>
    <w:rsid w:val="00E559A0"/>
    <w:rsid w:val="00E55A4B"/>
    <w:rsid w:val="00E5604D"/>
    <w:rsid w:val="00E564E4"/>
    <w:rsid w:val="00E5680D"/>
    <w:rsid w:val="00E56DD6"/>
    <w:rsid w:val="00E5733D"/>
    <w:rsid w:val="00E579CE"/>
    <w:rsid w:val="00E57AFC"/>
    <w:rsid w:val="00E57CF6"/>
    <w:rsid w:val="00E60103"/>
    <w:rsid w:val="00E60534"/>
    <w:rsid w:val="00E60816"/>
    <w:rsid w:val="00E60961"/>
    <w:rsid w:val="00E60DC5"/>
    <w:rsid w:val="00E60F30"/>
    <w:rsid w:val="00E6148D"/>
    <w:rsid w:val="00E61778"/>
    <w:rsid w:val="00E619AF"/>
    <w:rsid w:val="00E61A34"/>
    <w:rsid w:val="00E61A85"/>
    <w:rsid w:val="00E61CC0"/>
    <w:rsid w:val="00E62217"/>
    <w:rsid w:val="00E6277B"/>
    <w:rsid w:val="00E62929"/>
    <w:rsid w:val="00E63309"/>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6FD6"/>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80514"/>
    <w:rsid w:val="00E80A4B"/>
    <w:rsid w:val="00E80E5B"/>
    <w:rsid w:val="00E816C5"/>
    <w:rsid w:val="00E81837"/>
    <w:rsid w:val="00E81CE0"/>
    <w:rsid w:val="00E81E33"/>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3E44"/>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25C"/>
    <w:rsid w:val="00EA65AD"/>
    <w:rsid w:val="00EA6672"/>
    <w:rsid w:val="00EA6744"/>
    <w:rsid w:val="00EA6A48"/>
    <w:rsid w:val="00EA6A9D"/>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06D"/>
    <w:rsid w:val="00EC2501"/>
    <w:rsid w:val="00EC2D80"/>
    <w:rsid w:val="00EC2E2D"/>
    <w:rsid w:val="00EC34C3"/>
    <w:rsid w:val="00EC3B64"/>
    <w:rsid w:val="00EC462B"/>
    <w:rsid w:val="00EC4723"/>
    <w:rsid w:val="00EC4830"/>
    <w:rsid w:val="00EC4FFC"/>
    <w:rsid w:val="00EC5636"/>
    <w:rsid w:val="00EC568D"/>
    <w:rsid w:val="00EC56E0"/>
    <w:rsid w:val="00EC5F13"/>
    <w:rsid w:val="00EC6057"/>
    <w:rsid w:val="00EC63FE"/>
    <w:rsid w:val="00EC64BA"/>
    <w:rsid w:val="00EC6577"/>
    <w:rsid w:val="00EC6847"/>
    <w:rsid w:val="00EC6E11"/>
    <w:rsid w:val="00EC716D"/>
    <w:rsid w:val="00EC7401"/>
    <w:rsid w:val="00EC7455"/>
    <w:rsid w:val="00EC7508"/>
    <w:rsid w:val="00EC7DB6"/>
    <w:rsid w:val="00ED0D5D"/>
    <w:rsid w:val="00ED1596"/>
    <w:rsid w:val="00ED162F"/>
    <w:rsid w:val="00ED193A"/>
    <w:rsid w:val="00ED1A46"/>
    <w:rsid w:val="00ED251F"/>
    <w:rsid w:val="00ED2E52"/>
    <w:rsid w:val="00ED2EEE"/>
    <w:rsid w:val="00ED2F7B"/>
    <w:rsid w:val="00ED2F95"/>
    <w:rsid w:val="00ED3024"/>
    <w:rsid w:val="00ED3E70"/>
    <w:rsid w:val="00ED3F7B"/>
    <w:rsid w:val="00ED445A"/>
    <w:rsid w:val="00ED45C2"/>
    <w:rsid w:val="00ED46A8"/>
    <w:rsid w:val="00ED482B"/>
    <w:rsid w:val="00ED4FAC"/>
    <w:rsid w:val="00ED57AA"/>
    <w:rsid w:val="00ED5C55"/>
    <w:rsid w:val="00ED5FE4"/>
    <w:rsid w:val="00ED6CFA"/>
    <w:rsid w:val="00ED6FF5"/>
    <w:rsid w:val="00ED7164"/>
    <w:rsid w:val="00ED71C5"/>
    <w:rsid w:val="00ED7411"/>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321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1217"/>
    <w:rsid w:val="00F312EF"/>
    <w:rsid w:val="00F3139E"/>
    <w:rsid w:val="00F314CB"/>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078"/>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26D"/>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CF4"/>
    <w:rsid w:val="00F74D34"/>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9CA"/>
    <w:rsid w:val="00F809CE"/>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E22"/>
    <w:rsid w:val="00F950B5"/>
    <w:rsid w:val="00F9513F"/>
    <w:rsid w:val="00F95518"/>
    <w:rsid w:val="00F956AC"/>
    <w:rsid w:val="00F95F80"/>
    <w:rsid w:val="00F9644B"/>
    <w:rsid w:val="00F978DA"/>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6FDC"/>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74"/>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1D9F"/>
    <w:rsid w:val="00FF2310"/>
    <w:rsid w:val="00FF2E73"/>
    <w:rsid w:val="00FF3538"/>
    <w:rsid w:val="00FF389D"/>
    <w:rsid w:val="00FF3918"/>
    <w:rsid w:val="00FF412D"/>
    <w:rsid w:val="00FF4384"/>
    <w:rsid w:val="00FF4AE2"/>
    <w:rsid w:val="00FF4B89"/>
    <w:rsid w:val="00FF50A8"/>
    <w:rsid w:val="00FF52E2"/>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9B1C2E13-8D75-4AB9-AD4B-5944E21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link w:val="af"/>
    <w:uiPriority w:val="34"/>
    <w:rsid w:val="003B07F5"/>
    <w:rPr>
      <w:sz w:val="22"/>
      <w:szCs w:val="22"/>
      <w:lang w:eastAsia="en-US"/>
    </w:rPr>
  </w:style>
  <w:style w:type="paragraph" w:customStyle="1" w:styleId="TdocHeader2">
    <w:name w:val="Tdoc_Header_2"/>
    <w:basedOn w:val="a"/>
    <w:rsid w:val="008559C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85141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052579">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627816">
      <w:bodyDiv w:val="1"/>
      <w:marLeft w:val="0"/>
      <w:marRight w:val="0"/>
      <w:marTop w:val="0"/>
      <w:marBottom w:val="0"/>
      <w:divBdr>
        <w:top w:val="none" w:sz="0" w:space="0" w:color="auto"/>
        <w:left w:val="none" w:sz="0" w:space="0" w:color="auto"/>
        <w:bottom w:val="none" w:sz="0" w:space="0" w:color="auto"/>
        <w:right w:val="none" w:sz="0" w:space="0" w:color="auto"/>
      </w:divBdr>
      <w:divsChild>
        <w:div w:id="848106180">
          <w:marLeft w:val="54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0895">
      <w:bodyDiv w:val="1"/>
      <w:marLeft w:val="0"/>
      <w:marRight w:val="0"/>
      <w:marTop w:val="0"/>
      <w:marBottom w:val="0"/>
      <w:divBdr>
        <w:top w:val="none" w:sz="0" w:space="0" w:color="auto"/>
        <w:left w:val="none" w:sz="0" w:space="0" w:color="auto"/>
        <w:bottom w:val="none" w:sz="0" w:space="0" w:color="auto"/>
        <w:right w:val="none" w:sz="0" w:space="0" w:color="auto"/>
      </w:divBdr>
      <w:divsChild>
        <w:div w:id="1130825738">
          <w:marLeft w:val="0"/>
          <w:marRight w:val="0"/>
          <w:marTop w:val="0"/>
          <w:marBottom w:val="0"/>
          <w:divBdr>
            <w:top w:val="none" w:sz="0" w:space="0" w:color="auto"/>
            <w:left w:val="none" w:sz="0" w:space="0" w:color="auto"/>
            <w:bottom w:val="none" w:sz="0" w:space="0" w:color="auto"/>
            <w:right w:val="none" w:sz="0" w:space="0" w:color="auto"/>
          </w:divBdr>
          <w:divsChild>
            <w:div w:id="1602882642">
              <w:marLeft w:val="0"/>
              <w:marRight w:val="0"/>
              <w:marTop w:val="0"/>
              <w:marBottom w:val="0"/>
              <w:divBdr>
                <w:top w:val="none" w:sz="0" w:space="0" w:color="auto"/>
                <w:left w:val="none" w:sz="0" w:space="0" w:color="auto"/>
                <w:bottom w:val="none" w:sz="0" w:space="0" w:color="auto"/>
                <w:right w:val="none" w:sz="0" w:space="0" w:color="auto"/>
              </w:divBdr>
              <w:divsChild>
                <w:div w:id="1495993717">
                  <w:marLeft w:val="0"/>
                  <w:marRight w:val="0"/>
                  <w:marTop w:val="0"/>
                  <w:marBottom w:val="0"/>
                  <w:divBdr>
                    <w:top w:val="single" w:sz="6" w:space="8" w:color="4395FF"/>
                    <w:left w:val="single" w:sz="6" w:space="8" w:color="4395FF"/>
                    <w:bottom w:val="single" w:sz="6" w:space="30" w:color="4395FF"/>
                    <w:right w:val="single" w:sz="6" w:space="8" w:color="4395FF"/>
                  </w:divBdr>
                  <w:divsChild>
                    <w:div w:id="11336021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26324126">
          <w:marLeft w:val="0"/>
          <w:marRight w:val="0"/>
          <w:marTop w:val="0"/>
          <w:marBottom w:val="0"/>
          <w:divBdr>
            <w:top w:val="none" w:sz="0" w:space="0" w:color="auto"/>
            <w:left w:val="none" w:sz="0" w:space="0" w:color="auto"/>
            <w:bottom w:val="none" w:sz="0" w:space="0" w:color="auto"/>
            <w:right w:val="none" w:sz="0" w:space="0" w:color="auto"/>
          </w:divBdr>
          <w:divsChild>
            <w:div w:id="1082606140">
              <w:marLeft w:val="0"/>
              <w:marRight w:val="0"/>
              <w:marTop w:val="0"/>
              <w:marBottom w:val="0"/>
              <w:divBdr>
                <w:top w:val="none" w:sz="0" w:space="0" w:color="auto"/>
                <w:left w:val="none" w:sz="0" w:space="0" w:color="auto"/>
                <w:bottom w:val="none" w:sz="0" w:space="0" w:color="auto"/>
                <w:right w:val="none" w:sz="0" w:space="0" w:color="auto"/>
              </w:divBdr>
              <w:divsChild>
                <w:div w:id="1433555195">
                  <w:marLeft w:val="0"/>
                  <w:marRight w:val="0"/>
                  <w:marTop w:val="0"/>
                  <w:marBottom w:val="0"/>
                  <w:divBdr>
                    <w:top w:val="single" w:sz="6" w:space="8" w:color="EEEEEE"/>
                    <w:left w:val="none" w:sz="0" w:space="8" w:color="auto"/>
                    <w:bottom w:val="single" w:sz="6" w:space="8" w:color="EEEEEE"/>
                    <w:right w:val="single" w:sz="6" w:space="8" w:color="EEEEEE"/>
                  </w:divBdr>
                  <w:divsChild>
                    <w:div w:id="17900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E3E13-E098-47A7-97FA-45DC811C2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42833</TotalTime>
  <Pages>3</Pages>
  <Words>1205</Words>
  <Characters>6871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Microsoft</cp:lastModifiedBy>
  <cp:revision>148</cp:revision>
  <cp:lastPrinted>2015-03-27T14:25:00Z</cp:lastPrinted>
  <dcterms:created xsi:type="dcterms:W3CDTF">2016-04-01T01:50:00Z</dcterms:created>
  <dcterms:modified xsi:type="dcterms:W3CDTF">2017-05-05T09:18:00Z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